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6A7A9" w14:textId="77777777" w:rsidR="00D200A7" w:rsidRDefault="00D200A7" w:rsidP="00D200A7">
      <w:pPr>
        <w:pBdr>
          <w:bottom w:val="single" w:sz="12" w:space="1" w:color="auto"/>
        </w:pBdr>
        <w:spacing w:line="276" w:lineRule="auto"/>
        <w:rPr>
          <w:b/>
          <w:sz w:val="32"/>
          <w:szCs w:val="28"/>
        </w:rPr>
      </w:pPr>
      <w:r>
        <w:rPr>
          <w:b/>
          <w:noProof/>
          <w:sz w:val="32"/>
          <w:szCs w:val="28"/>
        </w:rPr>
        <w:drawing>
          <wp:anchor distT="0" distB="0" distL="114300" distR="114300" simplePos="0" relativeHeight="251660288" behindDoc="0" locked="0" layoutInCell="1" allowOverlap="1" wp14:anchorId="61AAEEEF" wp14:editId="759D4048">
            <wp:simplePos x="0" y="0"/>
            <wp:positionH relativeFrom="column">
              <wp:posOffset>4495800</wp:posOffset>
            </wp:positionH>
            <wp:positionV relativeFrom="paragraph">
              <wp:posOffset>-381000</wp:posOffset>
            </wp:positionV>
            <wp:extent cx="1483360" cy="666750"/>
            <wp:effectExtent l="0" t="0" r="2540" b="0"/>
            <wp:wrapNone/>
            <wp:docPr id="18240944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94491"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483519" cy="666750"/>
                    </a:xfrm>
                    <a:prstGeom prst="rect">
                      <a:avLst/>
                    </a:prstGeom>
                    <a:noFill/>
                    <a:ln>
                      <a:noFill/>
                    </a:ln>
                  </pic:spPr>
                </pic:pic>
              </a:graphicData>
            </a:graphic>
          </wp:anchor>
        </w:drawing>
      </w:r>
      <w:r>
        <w:rPr>
          <w:b/>
          <w:noProof/>
          <w:sz w:val="32"/>
          <w:szCs w:val="28"/>
        </w:rPr>
        <mc:AlternateContent>
          <mc:Choice Requires="wps">
            <w:drawing>
              <wp:anchor distT="45720" distB="45720" distL="114300" distR="114300" simplePos="0" relativeHeight="251659264" behindDoc="0" locked="0" layoutInCell="1" allowOverlap="1" wp14:anchorId="2CB7F4DB" wp14:editId="28394236">
                <wp:simplePos x="0" y="0"/>
                <wp:positionH relativeFrom="column">
                  <wp:posOffset>-46990</wp:posOffset>
                </wp:positionH>
                <wp:positionV relativeFrom="paragraph">
                  <wp:posOffset>57150</wp:posOffset>
                </wp:positionV>
                <wp:extent cx="1695450" cy="1404620"/>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1404620"/>
                        </a:xfrm>
                        <a:prstGeom prst="rect">
                          <a:avLst/>
                        </a:prstGeom>
                        <a:noFill/>
                        <a:ln w="9525">
                          <a:noFill/>
                          <a:miter lim="800000"/>
                        </a:ln>
                      </wps:spPr>
                      <wps:txbx>
                        <w:txbxContent>
                          <w:p w14:paraId="73CB1999" w14:textId="7C7C3A24" w:rsidR="00D200A7" w:rsidRDefault="00D200A7" w:rsidP="00D200A7">
                            <w:pPr>
                              <w:ind w:firstLine="0"/>
                              <w:rPr>
                                <w:rFonts w:cs="Times New Roman"/>
                                <w:i/>
                                <w:iCs/>
                              </w:rPr>
                            </w:pPr>
                            <w:r>
                              <w:rPr>
                                <w:rFonts w:cs="Times New Roman"/>
                                <w:i/>
                                <w:iCs/>
                              </w:rPr>
                              <w:t>Volume</w:t>
                            </w:r>
                            <w:r w:rsidR="00C74FE1">
                              <w:rPr>
                                <w:rFonts w:cs="Times New Roman"/>
                                <w:i/>
                                <w:iCs/>
                              </w:rPr>
                              <w:t xml:space="preserve"> </w:t>
                            </w:r>
                            <w:r w:rsidR="00C74FE1">
                              <w:rPr>
                                <w:rFonts w:cs="Times New Roman"/>
                                <w:i/>
                                <w:iCs/>
                                <w:lang w:val="en-GB"/>
                              </w:rPr>
                              <w:t>2</w:t>
                            </w:r>
                            <w:r>
                              <w:rPr>
                                <w:rFonts w:cs="Times New Roman"/>
                                <w:i/>
                                <w:iCs/>
                              </w:rPr>
                              <w:t xml:space="preserve"> Issue </w:t>
                            </w:r>
                            <w:r w:rsidR="00C74FE1">
                              <w:rPr>
                                <w:rFonts w:cs="Times New Roman"/>
                                <w:i/>
                                <w:iCs/>
                                <w:lang w:val="en-GB"/>
                              </w:rPr>
                              <w:t>1</w:t>
                            </w:r>
                            <w:r>
                              <w:rPr>
                                <w:rFonts w:cs="Times New Roman"/>
                                <w:i/>
                                <w:iCs/>
                              </w:rPr>
                              <w:t xml:space="preserve"> </w:t>
                            </w:r>
                            <w:r>
                              <w:rPr>
                                <w:rFonts w:cs="Times New Roman"/>
                                <w:b/>
                                <w:bCs/>
                                <w:i/>
                                <w:iCs/>
                              </w:rPr>
                              <w:t>2026</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CB7F4DB" id="_x0000_t202" coordsize="21600,21600" o:spt="202" path="m,l,21600r21600,l21600,xe">
                <v:stroke joinstyle="miter"/>
                <v:path gradientshapeok="t" o:connecttype="rect"/>
              </v:shapetype>
              <v:shape id="Text Box 2" o:spid="_x0000_s1026" type="#_x0000_t202" style="position:absolute;left:0;text-align:left;margin-left:-3.7pt;margin-top:4.5pt;width:13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" filled="f" stroked="f">
                <v:textbox style="mso-fit-shape-to-text:t">
                  <w:txbxContent>
                    <w:p w14:paraId="73CB1999" w14:textId="7C7C3A24" w:rsidR="00D200A7" w:rsidRDefault="00D200A7" w:rsidP="00D200A7">
                      <w:pPr>
                        <w:ind w:firstLine="0"/>
                        <w:rPr>
                          <w:rFonts w:cs="Times New Roman"/>
                          <w:i/>
                          <w:iCs/>
                        </w:rPr>
                      </w:pPr>
                      <w:r>
                        <w:rPr>
                          <w:rFonts w:cs="Times New Roman"/>
                          <w:i/>
                          <w:iCs/>
                        </w:rPr>
                        <w:t>Volume</w:t>
                      </w:r>
                      <w:r w:rsidR="00C74FE1">
                        <w:rPr>
                          <w:rFonts w:cs="Times New Roman"/>
                          <w:i/>
                          <w:iCs/>
                        </w:rPr>
                        <w:t xml:space="preserve"> </w:t>
                      </w:r>
                      <w:r w:rsidR="00C74FE1">
                        <w:rPr>
                          <w:rFonts w:cs="Times New Roman"/>
                          <w:i/>
                          <w:iCs/>
                          <w:lang w:val="en-GB"/>
                        </w:rPr>
                        <w:t>2</w:t>
                      </w:r>
                      <w:r>
                        <w:rPr>
                          <w:rFonts w:cs="Times New Roman"/>
                          <w:i/>
                          <w:iCs/>
                        </w:rPr>
                        <w:t xml:space="preserve"> Issue </w:t>
                      </w:r>
                      <w:r w:rsidR="00C74FE1">
                        <w:rPr>
                          <w:rFonts w:cs="Times New Roman"/>
                          <w:i/>
                          <w:iCs/>
                          <w:lang w:val="en-GB"/>
                        </w:rPr>
                        <w:t>1</w:t>
                      </w:r>
                      <w:r>
                        <w:rPr>
                          <w:rFonts w:cs="Times New Roman"/>
                          <w:i/>
                          <w:iCs/>
                        </w:rPr>
                        <w:t xml:space="preserve"> </w:t>
                      </w:r>
                      <w:r>
                        <w:rPr>
                          <w:rFonts w:cs="Times New Roman"/>
                          <w:b/>
                          <w:bCs/>
                          <w:i/>
                          <w:iCs/>
                        </w:rPr>
                        <w:t>2026</w:t>
                      </w:r>
                    </w:p>
                  </w:txbxContent>
                </v:textbox>
              </v:shape>
            </w:pict>
          </mc:Fallback>
        </mc:AlternateContent>
      </w:r>
    </w:p>
    <w:p w14:paraId="7895D152" w14:textId="77777777" w:rsidR="002E221C" w:rsidRDefault="002E221C" w:rsidP="00D200A7">
      <w:pPr>
        <w:pStyle w:val="CoverKicker"/>
        <w:spacing w:line="360" w:lineRule="auto"/>
      </w:pPr>
    </w:p>
    <w:p w14:paraId="07739646" w14:textId="70219028" w:rsidR="00F011E0" w:rsidRDefault="008833F3" w:rsidP="00155B4C">
      <w:pPr>
        <w:pStyle w:val="CoverKicker"/>
        <w:spacing w:line="360" w:lineRule="auto"/>
        <w:jc w:val="center"/>
      </w:pPr>
      <w:r>
        <w:t>CONSERVATION ·</w:t>
      </w:r>
      <w:bookmarkStart w:id="0" w:name="_GoBack"/>
      <w:bookmarkEnd w:id="0"/>
      <w:r w:rsidR="00AA1452">
        <w:t xml:space="preserve">  CO-MANAGEMENT  ·  SUSTAINABLE LIVELIHOODS</w:t>
      </w:r>
    </w:p>
    <w:p w14:paraId="7858AA08" w14:textId="77777777" w:rsidR="005039D0" w:rsidRPr="005039D0" w:rsidRDefault="005039D0" w:rsidP="00D200A7">
      <w:pPr>
        <w:pStyle w:val="Title"/>
        <w:spacing w:line="360" w:lineRule="auto"/>
      </w:pPr>
      <w:r w:rsidRPr="005039D0">
        <w:t>Developing an Integrated Local Enterprise Development (LED) Model for Community-Based Conservation, Co-Management, and Sustainable Livelihoods in the Save Valley Conservancy, Masvingo Province, Zimbabwe</w:t>
      </w:r>
    </w:p>
    <w:p w14:paraId="7C7FF45B" w14:textId="77777777" w:rsidR="005039D0" w:rsidRPr="005039D0" w:rsidRDefault="005039D0" w:rsidP="00205470">
      <w:pPr>
        <w:pStyle w:val="JournalAuthors"/>
        <w:spacing w:line="360" w:lineRule="auto"/>
        <w:jc w:val="center"/>
      </w:pPr>
      <w:r w:rsidRPr="005039D0">
        <w:t>Joseph Shoko</w:t>
      </w:r>
      <w:r w:rsidRPr="005039D0">
        <w:rPr>
          <w:vertAlign w:val="superscript"/>
        </w:rPr>
        <w:t>1*</w:t>
      </w:r>
      <w:r w:rsidRPr="005039D0">
        <w:t>, Never Muboko</w:t>
      </w:r>
      <w:r w:rsidRPr="005039D0">
        <w:rPr>
          <w:vertAlign w:val="superscript"/>
        </w:rPr>
        <w:t>2</w:t>
      </w:r>
      <w:r w:rsidRPr="005039D0">
        <w:t xml:space="preserve"> and Edson Gandiwa</w:t>
      </w:r>
      <w:r w:rsidRPr="005039D0">
        <w:rPr>
          <w:vertAlign w:val="superscript"/>
        </w:rPr>
        <w:t>2</w:t>
      </w:r>
    </w:p>
    <w:p w14:paraId="53CE4636" w14:textId="0509C268" w:rsidR="005039D0" w:rsidRPr="005039D0" w:rsidRDefault="005039D0" w:rsidP="00205470">
      <w:pPr>
        <w:pStyle w:val="JournalAffiliation"/>
        <w:spacing w:line="360" w:lineRule="auto"/>
        <w:jc w:val="center"/>
      </w:pPr>
      <w:r w:rsidRPr="005039D0">
        <w:rPr>
          <w:i/>
          <w:vertAlign w:val="superscript"/>
        </w:rPr>
        <w:t xml:space="preserve"> </w:t>
      </w:r>
      <w:r w:rsidRPr="005039D0">
        <w:rPr>
          <w:i/>
        </w:rPr>
        <w:t>Department of Wildlife Ecology and Conservation, Chinhoyi University of Technology, Private Bag, 7724, Chinhoyi, Zimbabwe</w:t>
      </w:r>
    </w:p>
    <w:p w14:paraId="2B6868E6" w14:textId="0B844A44" w:rsidR="005039D0" w:rsidRPr="005039D0" w:rsidRDefault="005039D0" w:rsidP="00205470">
      <w:pPr>
        <w:pStyle w:val="JournalAffiliation"/>
        <w:spacing w:line="360" w:lineRule="auto"/>
        <w:jc w:val="center"/>
      </w:pPr>
      <w:r w:rsidRPr="005039D0">
        <w:rPr>
          <w:i/>
        </w:rPr>
        <w:t>Zimbabwe Parks and Wildlife Management Authority, P.O. Box CY 140 Causeway, Harare, Zimbabwe</w:t>
      </w:r>
    </w:p>
    <w:p w14:paraId="5F8D0CE1" w14:textId="77777777" w:rsidR="005039D0" w:rsidRPr="007643CD" w:rsidRDefault="005039D0" w:rsidP="00205470">
      <w:pPr>
        <w:pStyle w:val="JournalCorrespondence"/>
        <w:spacing w:line="360" w:lineRule="auto"/>
        <w:jc w:val="center"/>
        <w:sectPr w:rsidR="005039D0" w:rsidRPr="007643CD" w:rsidSect="00D537FA">
          <w:headerReference w:type="default" r:id="rId13"/>
          <w:footerReference w:type="default" r:id="rId14"/>
          <w:pgSz w:w="12240" w:h="15840"/>
          <w:pgMar w:top="1440" w:right="1440" w:bottom="1440" w:left="1440" w:header="288" w:footer="600" w:gutter="0"/>
          <w:cols w:space="576"/>
        </w:sectPr>
      </w:pPr>
      <w:r>
        <w:t>* Corresponding author: jshoko117@gmail.com</w:t>
      </w:r>
    </w:p>
    <w:p w14:paraId="4133FEF6" w14:textId="77777777" w:rsidR="008E2B54" w:rsidRPr="007643CD" w:rsidRDefault="00EA3D3C" w:rsidP="00205470">
      <w:pPr>
        <w:pStyle w:val="Heading1"/>
        <w:spacing w:before="0" w:line="360" w:lineRule="auto"/>
      </w:pPr>
      <w:r w:rsidRPr="007643CD">
        <w:lastRenderedPageBreak/>
        <w:t>Abstract</w:t>
      </w:r>
    </w:p>
    <w:p w14:paraId="325147EF" w14:textId="77777777" w:rsidR="00D200A7" w:rsidRDefault="00D200A7" w:rsidP="00205470">
      <w:pPr>
        <w:pStyle w:val="JournalAbstract"/>
        <w:spacing w:line="360" w:lineRule="auto"/>
        <w:ind w:firstLine="0"/>
        <w:jc w:val="both"/>
        <w:sectPr w:rsidR="00D200A7" w:rsidSect="00D537FA">
          <w:headerReference w:type="default" r:id="rId15"/>
          <w:footerReference w:type="default" r:id="rId16"/>
          <w:pgSz w:w="12240" w:h="15840"/>
          <w:pgMar w:top="1440" w:right="1440" w:bottom="1440" w:left="1440" w:header="288" w:footer="600" w:gutter="0"/>
          <w:cols w:space="576"/>
        </w:sectPr>
      </w:pPr>
    </w:p>
    <w:p w14:paraId="02C8FA70" w14:textId="77777777" w:rsidR="005039D0" w:rsidRPr="007643CD" w:rsidRDefault="005039D0" w:rsidP="00205470">
      <w:pPr>
        <w:pStyle w:val="JournalAbstract"/>
        <w:spacing w:line="360" w:lineRule="auto"/>
        <w:ind w:firstLine="0"/>
        <w:jc w:val="both"/>
      </w:pPr>
      <w:r w:rsidRPr="007643CD">
        <w:t>This study explores the role of Local Enterprise Development (LED) in promoting community-based conservation, co-management, and sustainable livelihoods in the Save Valley Conservancy, Zimbabwe. A qualitative research approach was employed, involving a literature review, in-depth interviews, focus group discussions, and observations. The study proposes the Community-Led Conservation and Sustainable Livelihoods (CLCSL) Model, which integrates community-led planning and management, enterprise development, co-management, capacity building, and sustainable livelihoods. The CLCSL Model has the potential to promote sustainable development and conservation in the Save Valley Conservancy, while addressing the needs and concerns of local communities. The study's findings highlight the importance of community involvement, capacity building, and co-management in promoting community-based conservation and sustainable livelihoods. The study recommends the implementation of the CLCSL Model through a phased approach, involving community engagement and capacity building, sustainable livelihoods and conservation initiatives, and scaling up successful initiatives.</w:t>
      </w:r>
      <w:r>
        <w:t xml:space="preserve"> The model links </w:t>
      </w:r>
      <w:r>
        <w:t>biodiversity conservation with local economic opportunities through coordinated action among communities, conservation organizations, and government agencies.</w:t>
      </w:r>
    </w:p>
    <w:p w14:paraId="733C50B5" w14:textId="77777777" w:rsidR="005039D0" w:rsidRPr="007643CD" w:rsidRDefault="005039D0" w:rsidP="00205470">
      <w:pPr>
        <w:pStyle w:val="JournalKeywords"/>
        <w:spacing w:line="360" w:lineRule="auto"/>
        <w:ind w:firstLine="0"/>
        <w:jc w:val="both"/>
        <w:sectPr w:rsidR="005039D0" w:rsidRPr="007643CD" w:rsidSect="00D200A7">
          <w:type w:val="continuous"/>
          <w:pgSz w:w="12240" w:h="15840"/>
          <w:pgMar w:top="1440" w:right="1440" w:bottom="1440" w:left="1440" w:header="288" w:footer="600" w:gutter="0"/>
          <w:cols w:num="2" w:space="576"/>
        </w:sectPr>
      </w:pPr>
      <w:r>
        <w:rPr>
          <w:b/>
        </w:rPr>
        <w:t xml:space="preserve">Keywords: </w:t>
      </w:r>
      <w:r>
        <w:t>local enterprise development; community-based conservation; co-management; sustainable livelihoods; Save Valley Conservancy</w:t>
      </w:r>
    </w:p>
    <w:p w14:paraId="73416C98" w14:textId="77777777" w:rsidR="00D200A7" w:rsidRDefault="00D200A7" w:rsidP="00205470">
      <w:pPr>
        <w:pStyle w:val="Heading1"/>
        <w:spacing w:before="0" w:line="360" w:lineRule="auto"/>
        <w:sectPr w:rsidR="00D200A7" w:rsidSect="00D537FA">
          <w:headerReference w:type="default" r:id="rId17"/>
          <w:footerReference w:type="default" r:id="rId18"/>
          <w:pgSz w:w="12240" w:h="15840"/>
          <w:pgMar w:top="1440" w:right="1440" w:bottom="1440" w:left="1440" w:header="288" w:footer="600" w:gutter="0"/>
          <w:cols w:num="2" w:space="576"/>
        </w:sectPr>
      </w:pPr>
    </w:p>
    <w:p w14:paraId="6BF12E88" w14:textId="77777777" w:rsidR="00EA3D3C" w:rsidRPr="007643CD" w:rsidRDefault="00EA3D3C" w:rsidP="00205470">
      <w:pPr>
        <w:pStyle w:val="Heading1"/>
        <w:spacing w:before="0" w:line="360" w:lineRule="auto"/>
      </w:pPr>
      <w:r w:rsidRPr="007643CD">
        <w:t>Introduction</w:t>
      </w:r>
    </w:p>
    <w:p w14:paraId="1E931537" w14:textId="77777777" w:rsidR="009450C3" w:rsidRPr="007643CD" w:rsidRDefault="009450C3" w:rsidP="00205470">
      <w:pPr>
        <w:spacing w:line="360" w:lineRule="auto"/>
        <w:ind w:firstLine="0"/>
        <w:jc w:val="both"/>
      </w:pPr>
      <w:r w:rsidRPr="007643CD">
        <w:t>The Save Valley Conservancy, a critical wildlife corridor in Masvingo Province, Zimbabwe, faces numerous conservation challenges, including habitat fragmentation, human-wildlife conflict, and poaching (Lindsey et al., 2011). The implementation of the Fast Track Land Reform Program (FTLRP) in the early 2000s further exacerbated these challenges, leading to significant changes in land use and ownership patterns in the conservancy. The FTLRP resulted in the resettlement of thousands of smallholder farmers and the conversion of large tracts of land from wildlife habitat to agricultural land. This has led to habitat fragmentation, human-wildlife conflict, and poaching, compromising the livelihoods of local communities and threatening the conservancy's biodiversity. Furthermore, the conservancy's natural resources have been overexploited, leading to soil degradation, deforestation, and the depletion of wildlife populations. To address these challenges, innovative wildlife governance approaches are necessary (Hutton et al., 2005).</w:t>
      </w:r>
    </w:p>
    <w:p w14:paraId="0BA19190" w14:textId="77777777" w:rsidR="009450C3" w:rsidRPr="007643CD" w:rsidRDefault="009450C3" w:rsidP="00205470">
      <w:pPr>
        <w:spacing w:line="360" w:lineRule="auto"/>
        <w:ind w:firstLine="0"/>
        <w:jc w:val="both"/>
      </w:pPr>
      <w:r w:rsidRPr="007643CD">
        <w:t xml:space="preserve">Local Economic Development (LED) has emerged as a promising solution to promote sustainable livelihoods and poverty reduction, particularly in rural and marginalized </w:t>
      </w:r>
      <w:r w:rsidRPr="007643CD">
        <w:t>communities. LED is a theoretical framework that emphasizes the importance of local economic development in promoting sustainable livelihoods and poverty reduction (Helmsing, 2003). The concept of LED gained prominence in the 1990s, as a response to the limitations of traditional top-down development approaches (Nelson, 1995). LED emphasizes the importance of community-led development, where local stakeholders are empowered to take ownership of their economic development (Blakely, 2012). According to Rodriguez-Pose and Tijmstra (2007), LED is characterized by a focus on local economic development, community participation, and institutional capacity building.</w:t>
      </w:r>
    </w:p>
    <w:p w14:paraId="5059E5BA" w14:textId="77777777" w:rsidR="009450C3" w:rsidRPr="007643CD" w:rsidRDefault="009450C3" w:rsidP="00205470">
      <w:pPr>
        <w:spacing w:line="360" w:lineRule="auto"/>
        <w:jc w:val="both"/>
      </w:pPr>
      <w:r w:rsidRPr="007643CD">
        <w:t xml:space="preserve">In the context of innovative wildlife governance, LED refers to the application of local economic development principles to promote sustainable wildlife management and conservation. The integration of LED principles with community-based conservation, co-management, and sustainable livelihoods approaches has the potential to promote sustainable wildlife management and conservation in the Save Valley Conservancy. Hybrid governance models, which involve private actors in conservation and creation of new regulations </w:t>
      </w:r>
      <w:r w:rsidRPr="007643CD">
        <w:lastRenderedPageBreak/>
        <w:t>and standards for social behavior, are being explored as a means of promoting sustainable wildlife management (Büscher, 2014). Community-Based Wildlife Conservation (CBWC) programs, which give local communities ownership rights and management responsibilities over wildlife, are also being implemented to promote LED in wildlife governance (Jones &amp; Weaver, 2015). Social innovation is recognized as a crucial factor in supporting transformations in wildlife governance, enabling the development of new solutions to conservation challenges (Westley et al., 2017).</w:t>
      </w:r>
    </w:p>
    <w:p w14:paraId="23CEF50D" w14:textId="77777777" w:rsidR="009450C3" w:rsidRPr="007643CD" w:rsidRDefault="009450C3" w:rsidP="00205470">
      <w:pPr>
        <w:spacing w:line="360" w:lineRule="auto"/>
        <w:ind w:firstLine="0"/>
        <w:jc w:val="both"/>
      </w:pPr>
      <w:r w:rsidRPr="007643CD">
        <w:t>In response to the conservation challenges facing the Save Valley Conservancy, the government of Zimbabwe has called for innovative wildlife governance models that prioritize community-led conservation and sustainable livelihoods. This study proposes a Local Enterprise Development (LED) model as a potential solution to the conservancy's challenges. The proposed LED model integrates community-led conservation, sustainable livelihoods, and co-management approaches to promote biodiversity conservation, improve human-wildlife coexistence, and enhance the livelihoods of local communities in the Save Valley Conservancy.</w:t>
      </w:r>
    </w:p>
    <w:p w14:paraId="559BBD73" w14:textId="77777777" w:rsidR="009450C3" w:rsidRPr="007643CD" w:rsidRDefault="009450C3" w:rsidP="00205470">
      <w:pPr>
        <w:spacing w:line="360" w:lineRule="auto"/>
        <w:ind w:firstLine="0"/>
        <w:jc w:val="both"/>
      </w:pPr>
      <w:r w:rsidRPr="007643CD">
        <w:t>This study aims to contribute to the achievement of conservation goals in the Save Valley Conservancy by pursuing the following specific objectives: (1) develop a comprehensive Local Enterprise Development (LED) framework that integrates community-based conservation, co-management, and sustainable livelihoods approaches for wildlife corridor development initiatives in the Save Valley Conservancy; (2) assess the potential of LED to promote sustainable livelihoods and conservation outcomes in the Save Valley Conservancy, with a focus on understanding the economic, social, and environmental impacts of LED initiatives; (3) examine the role of local community expectations and perceptions in shaping the success of LED initiatives in wildlife corridor development, with a focus on understanding the factors that influence local community support for or opposition to LED initiatives; and (4) identify the key factors that influence the success of LED initiatives in promoting sustainable wildlife management and conservation in the Save Valley Conservancy, with a focus on understanding the policy, institutional, and socio-economic factors that shape the effectiveness of LED initiatives</w:t>
      </w:r>
      <w:r w:rsidR="007643CD">
        <w:t>.</w:t>
      </w:r>
    </w:p>
    <w:p w14:paraId="52BFDACA" w14:textId="172A3352" w:rsidR="005039D0" w:rsidRPr="007643CD" w:rsidRDefault="002E221C" w:rsidP="00205470">
      <w:pPr>
        <w:pStyle w:val="Heading1"/>
        <w:spacing w:line="360" w:lineRule="auto"/>
        <w:jc w:val="both"/>
      </w:pPr>
      <w:r>
        <w:lastRenderedPageBreak/>
        <w:t xml:space="preserve">Material </w:t>
      </w:r>
      <w:r w:rsidR="005039D0" w:rsidRPr="007643CD">
        <w:t>Methods</w:t>
      </w:r>
    </w:p>
    <w:p w14:paraId="25395472" w14:textId="77777777" w:rsidR="005039D0" w:rsidRPr="007643CD" w:rsidRDefault="005039D0" w:rsidP="00205470">
      <w:pPr>
        <w:pStyle w:val="Heading2"/>
        <w:spacing w:line="360" w:lineRule="auto"/>
        <w:jc w:val="both"/>
      </w:pPr>
      <w:r w:rsidRPr="007643CD">
        <w:t>Study Area</w:t>
      </w:r>
    </w:p>
    <w:p w14:paraId="236963D2" w14:textId="77777777" w:rsidR="005039D0" w:rsidRPr="007643CD" w:rsidRDefault="005039D0" w:rsidP="00205470">
      <w:pPr>
        <w:spacing w:line="360" w:lineRule="auto"/>
        <w:ind w:firstLine="0"/>
        <w:jc w:val="both"/>
        <w:sectPr w:rsidR="005039D0" w:rsidRPr="007643CD" w:rsidSect="00D200A7">
          <w:type w:val="continuous"/>
          <w:pgSz w:w="12240" w:h="15840"/>
          <w:pgMar w:top="1440" w:right="1440" w:bottom="1440" w:left="1440" w:header="288" w:footer="600" w:gutter="0"/>
          <w:cols w:num="2" w:space="576"/>
        </w:sectPr>
      </w:pPr>
      <w:r w:rsidRPr="007643CD">
        <w:t xml:space="preserve">The Save Valley Conservancy (SVC) is a 348,450-hectare protected wildlife area in Masvingo Province, Zimbabwe (Wels, 2003) (Figure 1). It borders rural communities in Mutema and Musikavanhu communal lands and is part of the Great Limpopo Transfrontier Conservation Areas (Mushawemhuka, 2021). The conservancy stretches along the Save River and is approximately 385 km south of Harare and 120 km west of Mutare. Following </w:t>
      </w:r>
      <w:r w:rsidRPr="007643CD">
        <w:t>the 2000 land reform program, communal farmers invaded part of the conservancy, leading to increased human-wildlife conflict (Pole, 2000). However, the movement of wildlife also presents opportunities for habitat connectivity. Conservation efforts are underway to restore former wildlife corridors, including the main corridor connecting several areas (Durham University, 2020). The invasion also resulted in the destruction of perimeter fences and internal property boundaries.</w:t>
      </w:r>
    </w:p>
    <w:p w14:paraId="1D2730EE" w14:textId="77777777" w:rsidR="005039D0" w:rsidRPr="007643CD" w:rsidRDefault="005039D0" w:rsidP="00205470">
      <w:pPr>
        <w:pStyle w:val="JournalFigure"/>
        <w:suppressLineNumbers/>
        <w:spacing w:line="360" w:lineRule="auto"/>
        <w:jc w:val="both"/>
      </w:pPr>
      <w:r w:rsidRPr="007643CD">
        <w:rPr>
          <w:noProof/>
        </w:rPr>
        <w:lastRenderedPageBreak/>
        <w:drawing>
          <wp:inline distT="0" distB="0" distL="0" distR="0" wp14:anchorId="0D547BB1" wp14:editId="7D19F4C3">
            <wp:extent cx="4114800" cy="5333374"/>
            <wp:effectExtent l="0" t="0" r="2540" b="635"/>
            <wp:docPr id="1201406221" name="Picture 2" descr="Map locating Save Valley Conservancy in Zimbabwe, showing ranch boundaries, resettled areas and nearby population centres. Source: Durham University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 of Savé Valley Conservancy in southeastern Zimbabwe.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14800" cy="5333374"/>
                    </a:xfrm>
                    <a:prstGeom prst="rect">
                      <a:avLst/>
                    </a:prstGeom>
                    <a:noFill/>
                    <a:ln>
                      <a:noFill/>
                    </a:ln>
                  </pic:spPr>
                </pic:pic>
              </a:graphicData>
            </a:graphic>
          </wp:inline>
        </w:drawing>
      </w:r>
    </w:p>
    <w:p w14:paraId="038CD270" w14:textId="77777777" w:rsidR="005039D0" w:rsidRPr="007643CD" w:rsidRDefault="005039D0" w:rsidP="00205470">
      <w:pPr>
        <w:pStyle w:val="Caption"/>
        <w:suppressLineNumbers/>
        <w:spacing w:line="360" w:lineRule="auto"/>
        <w:jc w:val="both"/>
        <w:sectPr w:rsidR="005039D0" w:rsidRPr="007643CD" w:rsidSect="00D537FA">
          <w:headerReference w:type="default" r:id="rId20"/>
          <w:footerReference w:type="default" r:id="rId21"/>
          <w:type w:val="continuous"/>
          <w:pgSz w:w="12240" w:h="15840"/>
          <w:pgMar w:top="1440" w:right="1440" w:bottom="1440" w:left="1440" w:header="288" w:footer="600" w:gutter="0"/>
          <w:cols w:space="576"/>
        </w:sectPr>
      </w:pPr>
      <w:r>
        <w:t>Figure 1. The Save Valley Conservancy and the nearby human settlement areas. Source: Durham University (2020).</w:t>
      </w:r>
    </w:p>
    <w:p w14:paraId="4C71BA19" w14:textId="77777777" w:rsidR="005039D0" w:rsidRPr="007643CD" w:rsidRDefault="005039D0" w:rsidP="00205470">
      <w:pPr>
        <w:pStyle w:val="Heading3"/>
        <w:spacing w:line="360" w:lineRule="auto"/>
        <w:jc w:val="both"/>
      </w:pPr>
      <w:r w:rsidRPr="007643CD">
        <w:lastRenderedPageBreak/>
        <w:t>Climate</w:t>
      </w:r>
    </w:p>
    <w:p w14:paraId="41FD3FC0" w14:textId="77777777" w:rsidR="005039D0" w:rsidRPr="007643CD" w:rsidRDefault="005039D0" w:rsidP="00205470">
      <w:pPr>
        <w:spacing w:line="360" w:lineRule="auto"/>
        <w:ind w:firstLine="0"/>
        <w:jc w:val="both"/>
      </w:pPr>
      <w:r w:rsidRPr="007643CD">
        <w:t>The Save Valley Conservancy (SVC) in southeastern Zimbabwe experiences a uniformly dry rainfall pattern, with few wet years recorded between 1990 and 2015 (Mashapa, 2021). The area receives low rainfall, averaging around 450 mm per year, with significant variability, ranging from 92 mm in 1992 to 1114 mm in 2000 (Mhuriro-Mashapa et al., 2017). The wet season occurs from November to March, while the dry season lasts from April to October. Temperatures in the SVC are high, with average monthly maximum temperatures ranging from 25.9 °C in July to 36 °C in January, and mean monthly lowest temperatures ranging from 9 °C in June to 24 °C in January (Mhuriro-Mashapa et al., 2017). The high temperatures and clear skies during the summer months result in high evapo-transpiration rates, leading to lower effective rainfall.</w:t>
      </w:r>
    </w:p>
    <w:p w14:paraId="2B838D75" w14:textId="77777777" w:rsidR="005039D0" w:rsidRPr="007643CD" w:rsidRDefault="005039D0" w:rsidP="00205470">
      <w:pPr>
        <w:pStyle w:val="Heading3"/>
        <w:spacing w:line="360" w:lineRule="auto"/>
        <w:jc w:val="both"/>
      </w:pPr>
      <w:r>
        <w:t>Flora, Fauna, and Soil Type</w:t>
      </w:r>
    </w:p>
    <w:p w14:paraId="70D679C6" w14:textId="77777777" w:rsidR="005039D0" w:rsidRPr="007643CD" w:rsidRDefault="005039D0" w:rsidP="00205470">
      <w:pPr>
        <w:spacing w:line="360" w:lineRule="auto"/>
        <w:ind w:firstLine="0"/>
        <w:jc w:val="both"/>
      </w:pPr>
      <w:r w:rsidRPr="007643CD">
        <w:t xml:space="preserve">The Save Valley Conservancy, a vital wildlife conservation area, presents opportunities for Local Economic Development (LED) through sustainable tourism and natural resource management. The conservancy's diverse flora, including </w:t>
      </w:r>
      <w:r w:rsidRPr="007643CD">
        <w:rPr>
          <w:i/>
        </w:rPr>
        <w:t>Colophospermum mopane</w:t>
      </w:r>
      <w:r w:rsidRPr="007643CD">
        <w:t xml:space="preserve"> and </w:t>
      </w:r>
      <w:r w:rsidRPr="007643CD">
        <w:rPr>
          <w:i/>
        </w:rPr>
        <w:t>Acacia nigrescens</w:t>
      </w:r>
      <w:r w:rsidRPr="007643CD">
        <w:t xml:space="preserve"> (Timberlake, 1995), can be </w:t>
      </w:r>
      <w:r w:rsidRPr="007643CD">
        <w:t>leveraged to develop eco-tourism initiatives that benefit local communities. Other notable plant species found in the area, such as the iconic Baobab (</w:t>
      </w:r>
      <w:r w:rsidRPr="007643CD">
        <w:rPr>
          <w:i/>
        </w:rPr>
        <w:t>Adansonia digitata</w:t>
      </w:r>
      <w:r w:rsidRPr="007643CD">
        <w:t>), Marula (</w:t>
      </w:r>
      <w:r w:rsidRPr="007643CD">
        <w:rPr>
          <w:i/>
        </w:rPr>
        <w:t>Sclerocarya birrea</w:t>
      </w:r>
      <w:r w:rsidRPr="007643CD">
        <w:t xml:space="preserve">), and various </w:t>
      </w:r>
      <w:r w:rsidRPr="007643CD">
        <w:rPr>
          <w:i/>
        </w:rPr>
        <w:t>Commiphora</w:t>
      </w:r>
      <w:r w:rsidRPr="007643CD">
        <w:t xml:space="preserve"> species (Palgrave, 2002), can also be utilized to promote sustainable land-use practices and create economic opportunities.</w:t>
      </w:r>
    </w:p>
    <w:p w14:paraId="6F0A8A93" w14:textId="77777777" w:rsidR="005039D0" w:rsidRPr="007643CD" w:rsidRDefault="005039D0" w:rsidP="00205470">
      <w:pPr>
        <w:spacing w:line="360" w:lineRule="auto"/>
        <w:ind w:firstLine="0"/>
        <w:jc w:val="both"/>
      </w:pPr>
      <w:r w:rsidRPr="007643CD">
        <w:t>The conservancy's soil types are varied, with sandy loams, clay loams, and alluvial soils being predominant (Vincent &amp; Thomas, 1961). These soils are generally fertile, but prone to erosion and nutrient depletion, particularly in areas with high levels of human activity (Stocking, 2003). Sustainable land management practices, such as conservation agriculture and agroforestry, can help to mitigate these challenges and promote soil health.</w:t>
      </w:r>
    </w:p>
    <w:p w14:paraId="02732E1B" w14:textId="77777777" w:rsidR="005039D0" w:rsidRPr="007643CD" w:rsidRDefault="005039D0" w:rsidP="00205470">
      <w:pPr>
        <w:spacing w:line="360" w:lineRule="auto"/>
        <w:ind w:firstLine="0"/>
        <w:jc w:val="both"/>
      </w:pPr>
      <w:r w:rsidRPr="007643CD">
        <w:t>However, human-wildlife conflicts and environmental degradation pose challenges to LED in the area. Local communities have reported crop damage and livestock predation, highlighting the need for sustainable land-use planning and natural resource management (Mhuriro-Mashapa et al., 2017; Mhuriro-Mashapa et al., 2018).</w:t>
      </w:r>
    </w:p>
    <w:p w14:paraId="17BC694C" w14:textId="77777777" w:rsidR="005039D0" w:rsidRPr="007643CD" w:rsidRDefault="005039D0" w:rsidP="00205470">
      <w:pPr>
        <w:spacing w:line="360" w:lineRule="auto"/>
        <w:ind w:firstLine="0"/>
        <w:jc w:val="both"/>
      </w:pPr>
      <w:r w:rsidRPr="007643CD">
        <w:t xml:space="preserve">To promote LED in the Save Valley Conservancy, it is essential to develop a comprehensive approach that balances </w:t>
      </w:r>
      <w:r w:rsidRPr="007643CD">
        <w:lastRenderedPageBreak/>
        <w:t>conservation and economic development. This can be achieved through collaborative planning and management involving local communities, conservation organizations, and government agencies (Harrison &amp; Buchanan, 2011). By leveraging the conservancy's natural resources and promoting sustainable land-use practices, LED can contribute to poverty reduction, job creation, and improved livelihoods for local communities.</w:t>
      </w:r>
    </w:p>
    <w:p w14:paraId="322057E3" w14:textId="77777777" w:rsidR="005039D0" w:rsidRPr="007643CD" w:rsidRDefault="005039D0" w:rsidP="00205470">
      <w:pPr>
        <w:pStyle w:val="Heading3"/>
        <w:spacing w:line="360" w:lineRule="auto"/>
        <w:jc w:val="both"/>
      </w:pPr>
      <w:r w:rsidRPr="007643CD">
        <w:t>Socio-Demographic Characteristics</w:t>
      </w:r>
    </w:p>
    <w:p w14:paraId="1DD870B1" w14:textId="77777777" w:rsidR="005039D0" w:rsidRPr="007643CD" w:rsidRDefault="005039D0" w:rsidP="00205470">
      <w:pPr>
        <w:spacing w:line="360" w:lineRule="auto"/>
        <w:ind w:firstLine="0"/>
        <w:jc w:val="both"/>
      </w:pPr>
      <w:r w:rsidRPr="007643CD">
        <w:t>The Save Valley Conservancy is inhabited by a diverse human population of approximately 5,000-7,000 individuals (Moyo, 2004), predominantly residing in rural settlements and communal lands. The population is primarily composed of Shona-speaking communities, including the Ndau and Karanga clans (Masendeke, 2017). With a relatively young age structure, approximately 50% of residents are under 18 years old (Muyambo, 2019), presenting opportunities for LED initiatives to focus on youth development and education.</w:t>
      </w:r>
    </w:p>
    <w:p w14:paraId="1367E5E2" w14:textId="77777777" w:rsidR="005039D0" w:rsidRPr="007643CD" w:rsidRDefault="005039D0" w:rsidP="00205470">
      <w:pPr>
        <w:spacing w:line="360" w:lineRule="auto"/>
        <w:ind w:firstLine="0"/>
        <w:jc w:val="both"/>
      </w:pPr>
      <w:r w:rsidRPr="007643CD">
        <w:t xml:space="preserve">The local economy is largely driven by subsistence agriculture, livestock production, and small-scale fishing (Irwin, 2007), with some community members engaged in eco-tourism, craft production, and informal trade. However, educational attainment is relatively low, with approximately 40% of adults having </w:t>
      </w:r>
      <w:r w:rsidRPr="007643CD">
        <w:t>completed primary education (Moyo, 2004), highlighting the need for LED initiatives to prioritize education and skills development.</w:t>
      </w:r>
    </w:p>
    <w:p w14:paraId="13EACFB1" w14:textId="77777777" w:rsidR="005039D0" w:rsidRPr="007643CD" w:rsidRDefault="005039D0" w:rsidP="00205470">
      <w:pPr>
        <w:spacing w:line="360" w:lineRule="auto"/>
        <w:ind w:firstLine="0"/>
        <w:jc w:val="both"/>
      </w:pPr>
      <w:r w:rsidRPr="007643CD">
        <w:t xml:space="preserve">Access to healthcare is limited, with only a few clinics and health </w:t>
      </w:r>
      <w:proofErr w:type="spellStart"/>
      <w:r w:rsidRPr="007643CD">
        <w:t>centres</w:t>
      </w:r>
      <w:proofErr w:type="spellEnd"/>
      <w:r w:rsidRPr="007643CD">
        <w:t xml:space="preserve"> serving the entire conservancy. Small-scale farming is prevalent, with an average land holding size of 1-2 hectares (Masendeke, 2017), and agricultural practices are often subsistence-oriented, with maize and cotton being primary crops. LED initiatives can focus on improving agricultural productivity, enhancing market access, and promoting sustainable livelihoods for local communities.</w:t>
      </w:r>
    </w:p>
    <w:p w14:paraId="322E82CE" w14:textId="77777777" w:rsidR="005039D0" w:rsidRPr="007643CD" w:rsidRDefault="005039D0" w:rsidP="00205470">
      <w:pPr>
        <w:pStyle w:val="Heading2"/>
        <w:spacing w:line="360" w:lineRule="auto"/>
        <w:jc w:val="both"/>
      </w:pPr>
      <w:r w:rsidRPr="007643CD">
        <w:t>Data Collection Methods</w:t>
      </w:r>
    </w:p>
    <w:p w14:paraId="3D5CF9F2" w14:textId="77777777" w:rsidR="005039D0" w:rsidRPr="007643CD" w:rsidRDefault="005039D0" w:rsidP="00205470">
      <w:pPr>
        <w:spacing w:line="360" w:lineRule="auto"/>
        <w:ind w:firstLine="0"/>
        <w:jc w:val="both"/>
      </w:pPr>
      <w:r w:rsidRPr="007643CD">
        <w:t xml:space="preserve">The data collection process was guided by a qualitative research approach, which involved collecting and analysing data from a sample of stakeholders (Cresswell, 2014). To collect data for this study, four methods were employed: review of literature, in-depth interviews, focus group discussions, and observations. </w:t>
      </w:r>
    </w:p>
    <w:p w14:paraId="32ED7BFA" w14:textId="77777777" w:rsidR="005039D0" w:rsidRPr="007643CD" w:rsidRDefault="005039D0" w:rsidP="00205470">
      <w:pPr>
        <w:pStyle w:val="Heading3"/>
        <w:spacing w:line="360" w:lineRule="auto"/>
        <w:jc w:val="both"/>
      </w:pPr>
      <w:r w:rsidRPr="007643CD">
        <w:t>Literature Review</w:t>
      </w:r>
    </w:p>
    <w:p w14:paraId="5BB9EF19" w14:textId="77777777" w:rsidR="005039D0" w:rsidRPr="007643CD" w:rsidRDefault="005039D0" w:rsidP="00205470">
      <w:pPr>
        <w:spacing w:line="360" w:lineRule="auto"/>
        <w:ind w:firstLine="0"/>
        <w:jc w:val="both"/>
      </w:pPr>
      <w:r w:rsidRPr="007643CD">
        <w:t xml:space="preserve">A comprehensive literature review was conducted to identify the key concepts, theories, and debates related to Local Enterprise Development (LED), community-based conservation, and wildlife corridor development. The review aimed to provide an </w:t>
      </w:r>
      <w:r w:rsidRPr="007643CD">
        <w:lastRenderedPageBreak/>
        <w:t>overview of the existing knowledge on these topics and to identify gaps in the literature that the research study aimed to address.</w:t>
      </w:r>
    </w:p>
    <w:p w14:paraId="071684A7" w14:textId="77777777" w:rsidR="005039D0" w:rsidRPr="007643CD" w:rsidRDefault="005039D0" w:rsidP="00205470">
      <w:pPr>
        <w:spacing w:line="360" w:lineRule="auto"/>
        <w:ind w:firstLine="0"/>
        <w:jc w:val="both"/>
      </w:pPr>
      <w:r w:rsidRPr="007643CD">
        <w:t>The literature review was conducted using a systematic approach that involved several stages. The first stage involved defining the research question, which was identified as "What is the role of LED in promoting community-based conservation, co-management, and sustainable livelihoods in the Save Valley Conservancy?" The second stage involved identifying relevant literature through a search of academic databases, including Google Scholar, JSTOR, and ScienceDirect. Key words used in the search included "Local Enterprise Development", "community-based conservation", "co-management", "sustainable livelihoods", and "Save Valley Conservancy".</w:t>
      </w:r>
    </w:p>
    <w:p w14:paraId="05EBA3BC" w14:textId="77777777" w:rsidR="005039D0" w:rsidRPr="007643CD" w:rsidRDefault="005039D0" w:rsidP="00205470">
      <w:pPr>
        <w:spacing w:line="360" w:lineRule="auto"/>
        <w:ind w:firstLine="0"/>
        <w:jc w:val="both"/>
      </w:pPr>
      <w:r w:rsidRPr="007643CD">
        <w:t>The third stage involved selecting literature based on relevance to the research question, publication date, and peer-review status. A total of 50 articles, books, and reports were selected for inclusion in the review, published between 1990 and 2022. The fourth stage involved extracting data from the selected literature using a data extraction form. The form included information on the author, publication date, study location, methodology, and findings.</w:t>
      </w:r>
    </w:p>
    <w:p w14:paraId="3BF50517" w14:textId="77777777" w:rsidR="005039D0" w:rsidRPr="007643CD" w:rsidRDefault="005039D0" w:rsidP="00205470">
      <w:pPr>
        <w:spacing w:line="360" w:lineRule="auto"/>
        <w:ind w:firstLine="0"/>
        <w:jc w:val="both"/>
      </w:pPr>
      <w:r w:rsidRPr="007643CD">
        <w:t>The fifth stage involved analysing the data using thematic analysis. Themes were identified based on the research question and the literature reviewed. The literature review covered a period of 32 years, from 1990 to 2022. The literature was categorized into three-time frames: early literature (1990-2000), middle literature (2001-2010), and recent literature (2011-2022).</w:t>
      </w:r>
    </w:p>
    <w:p w14:paraId="41D11A1F" w14:textId="77777777" w:rsidR="005039D0" w:rsidRPr="007643CD" w:rsidRDefault="005039D0" w:rsidP="00205470">
      <w:pPr>
        <w:spacing w:line="360" w:lineRule="auto"/>
        <w:ind w:firstLine="0"/>
        <w:jc w:val="both"/>
      </w:pPr>
      <w:r w:rsidRPr="007643CD">
        <w:t>The early literature saw the emergence of LED as a development approach, with a focus on promoting local economic development and reducing poverty (Helmsing, 2003). The middle literature saw an increase in research on community-based conservation and co-management, with a focus on promoting sustainable livelihoods and conserving natural resources (Berkes, 2009). The recent literature saw an increase in research on LED and its application in community-based conservation and sustainable livelihoods, with a focus on promoting integrated development approaches (Barrett et al., 2011).</w:t>
      </w:r>
    </w:p>
    <w:p w14:paraId="0DE3FE24" w14:textId="77777777" w:rsidR="005039D0" w:rsidRPr="007643CD" w:rsidRDefault="005039D0" w:rsidP="00205470">
      <w:pPr>
        <w:spacing w:line="360" w:lineRule="auto"/>
        <w:ind w:firstLine="0"/>
        <w:jc w:val="both"/>
      </w:pPr>
      <w:r w:rsidRPr="007643CD">
        <w:t xml:space="preserve">LED is a development approach that focuses on promoting local economic development through the support of local enterprises and entrepreneurship (Helmsing, 2003). LED is based on the idea that local economic development is best achieved through the empowerment of local communities and the support of local businesses. According to </w:t>
      </w:r>
      <w:r w:rsidRPr="007643CD">
        <w:lastRenderedPageBreak/>
        <w:t>Helmsing (2003), LED involves a range of activities, including the provision of business support services, training and capacity building, and the creation of enabling environments for local enterprise development.</w:t>
      </w:r>
    </w:p>
    <w:p w14:paraId="7E996D9C" w14:textId="77777777" w:rsidR="005039D0" w:rsidRPr="007643CD" w:rsidRDefault="005039D0" w:rsidP="00205470">
      <w:pPr>
        <w:spacing w:line="360" w:lineRule="auto"/>
        <w:ind w:firstLine="0"/>
        <w:jc w:val="both"/>
      </w:pPr>
      <w:r w:rsidRPr="007643CD">
        <w:t>Community-based conservation is an approach to conservation that involves the active participation of local communities in the management and conservation of natural resources (Hutton et al., 2005). This approach recognizes that local communities have a critical role to play in the conservation of natural resources and that their involvement is essential for the success of conservation efforts.</w:t>
      </w:r>
      <w:r w:rsidR="009450C3" w:rsidRPr="007643CD">
        <w:t xml:space="preserve"> </w:t>
      </w:r>
      <w:r w:rsidRPr="007643CD">
        <w:t>Wildlife corridor development is a conservation approach that involves the creation of corridors or connectivity areas that allow wildlife to move freely between different habitats (Büscher, 2014). This approach recognizes that wildlife corridors are essential for the maintenance of biodiversity and ecosystem health.</w:t>
      </w:r>
    </w:p>
    <w:p w14:paraId="5F0F0543" w14:textId="77777777" w:rsidR="00CF628B" w:rsidRPr="007643CD" w:rsidRDefault="00CF628B" w:rsidP="00205470">
      <w:pPr>
        <w:spacing w:line="360" w:lineRule="auto"/>
        <w:jc w:val="both"/>
      </w:pPr>
      <w:r w:rsidRPr="007643CD">
        <w:t xml:space="preserve">Examples of successful LED initiatives can be found in various countries and projects. For instance, the Local Economic Development (LED) program in South Africa, launched in 2001, aimed to promote local economic development and job creation in rural areas (Republic of South Africa, 2001). In Rwanda, the Local </w:t>
      </w:r>
      <w:r w:rsidRPr="007643CD">
        <w:t>Economic Development (LED) program, implemented by the Rwanda Development Bank (BRD), aimed to promote local economic development and poverty reduction in rural areas (Rwanda Development Bank, 2015). In Zimbabwe, the Community-Based Natural Resource Management (CBNRM) program, launched in the 1980s, aimed to promote community-led conservation and sustainable livelihoods in rural areas (Child, 2004). In Namibia, the Conservancy Program, launched in the 1990s, aimed to promote community-led conservation and sustainable livelihoods in rural areas (Jones &amp; Weaver, 2015).</w:t>
      </w:r>
    </w:p>
    <w:p w14:paraId="5E49C476" w14:textId="77777777" w:rsidR="00CF628B" w:rsidRPr="007643CD" w:rsidRDefault="00CF628B" w:rsidP="00205470">
      <w:pPr>
        <w:spacing w:line="360" w:lineRule="auto"/>
        <w:ind w:firstLine="0"/>
        <w:jc w:val="both"/>
      </w:pPr>
      <w:r w:rsidRPr="007643CD">
        <w:t>These examples demonstrate the potential of LED to promote sustainable livelihoods and poverty reduction in rural and marginalized communities. By empowering local stakeholders to take ownership of their economic development, LED initiatives can support the development of local economies and promote sustainable livelihoods.</w:t>
      </w:r>
    </w:p>
    <w:p w14:paraId="4F02DD00" w14:textId="77777777" w:rsidR="00CF628B" w:rsidRPr="007643CD" w:rsidRDefault="00CF628B" w:rsidP="00205470">
      <w:pPr>
        <w:spacing w:line="360" w:lineRule="auto"/>
        <w:ind w:firstLine="0"/>
        <w:jc w:val="both"/>
      </w:pPr>
      <w:r w:rsidRPr="007643CD">
        <w:t xml:space="preserve">Despite the potential benefits of LED, community-based conservation, and wildlife corridor development, there are a number of challenges and debates surrounding these approaches. One of the main challenges is the need to balance economic development with conservation goals (Büscher, 2014). This can be difficult, particularly in areas where there </w:t>
      </w:r>
      <w:r w:rsidRPr="007643CD">
        <w:lastRenderedPageBreak/>
        <w:t>are competing demands for land and resources. Another challenge is the need to ensure that local communities are fully involved in decision-making processes related to LED, community-based conservation, and wildlife corridor development (Hutton et al., 2005). This can be difficult, particularly in areas where there are power imbalances between different stakeholders. Finally, there is a need for further research on the impacts of LED, community-based conservation, and wildlife corridor development on sustainable livelihoods and biodiversity conservation (Jones &amp; Weaver, 2015).</w:t>
      </w:r>
    </w:p>
    <w:p w14:paraId="3BE525B0" w14:textId="77777777" w:rsidR="005039D0" w:rsidRPr="007643CD" w:rsidRDefault="005039D0" w:rsidP="00205470">
      <w:pPr>
        <w:spacing w:line="360" w:lineRule="auto"/>
        <w:ind w:firstLine="0"/>
        <w:jc w:val="both"/>
      </w:pPr>
      <w:r w:rsidRPr="007643CD">
        <w:t>The integration of LED and community-based conservation is seen as a way to promote sustainable livelihoods and conserve biodiversity (Hutton et al., 2005). This approach recognizes that local economic development and conservation are interlinked and that the promotion of one can have positive impacts on the other.</w:t>
      </w:r>
      <w:r w:rsidR="009450C3" w:rsidRPr="007643CD">
        <w:t xml:space="preserve"> </w:t>
      </w:r>
      <w:r w:rsidRPr="007643CD">
        <w:t xml:space="preserve">Despite the potential benefits of LED, community-based conservation, and wildlife corridor development, there are a number of challenges and debates surrounding these approaches. One of the main challenges is the need to balance economic development with conservation goals (Büscher, 2014). This can be difficult, particularly in areas where there </w:t>
      </w:r>
      <w:r w:rsidRPr="007643CD">
        <w:t>are competing demands for land and resources.</w:t>
      </w:r>
    </w:p>
    <w:p w14:paraId="60E39EDC" w14:textId="77777777" w:rsidR="005039D0" w:rsidRPr="007643CD" w:rsidRDefault="005039D0" w:rsidP="00205470">
      <w:pPr>
        <w:spacing w:line="360" w:lineRule="auto"/>
        <w:ind w:firstLine="0"/>
        <w:jc w:val="both"/>
      </w:pPr>
      <w:r w:rsidRPr="007643CD">
        <w:t>Another challenge is the need to ensure that local communities are fully involved in decision-making processes related to LED, community-based conservation, and wildlife corridor development (Hutton et al., 2005). This can be difficult, particularly in areas where there are power imbalances between different stakeholders.</w:t>
      </w:r>
    </w:p>
    <w:p w14:paraId="17525A88" w14:textId="77777777" w:rsidR="005039D0" w:rsidRPr="007643CD" w:rsidRDefault="005039D0" w:rsidP="00205470">
      <w:pPr>
        <w:spacing w:line="360" w:lineRule="auto"/>
        <w:ind w:firstLine="0"/>
        <w:jc w:val="both"/>
      </w:pPr>
      <w:r w:rsidRPr="007643CD">
        <w:t>Finally, there is a need for further research on the impacts of LED, community-based conservation, and wildlife corridor development on sustainable livelihoods and biodiversity conservation (Jones &amp; Weaver, 2015). This research should focus on identifying best practices and developing new approaches that can be used to promote sustainable livelihoods and conserve biodiversity.</w:t>
      </w:r>
    </w:p>
    <w:p w14:paraId="4D67C981" w14:textId="77777777" w:rsidR="005039D0" w:rsidRPr="007643CD" w:rsidRDefault="005039D0" w:rsidP="00205470">
      <w:pPr>
        <w:pStyle w:val="Heading2"/>
        <w:spacing w:line="360" w:lineRule="auto"/>
        <w:jc w:val="both"/>
      </w:pPr>
      <w:r w:rsidRPr="007643CD">
        <w:t>Sampling Strategy</w:t>
      </w:r>
    </w:p>
    <w:p w14:paraId="21AA3940" w14:textId="77777777" w:rsidR="005039D0" w:rsidRPr="007643CD" w:rsidRDefault="005039D0" w:rsidP="00205470">
      <w:pPr>
        <w:spacing w:line="360" w:lineRule="auto"/>
        <w:ind w:firstLine="0"/>
        <w:jc w:val="both"/>
      </w:pPr>
      <w:r w:rsidRPr="007643CD">
        <w:t xml:space="preserve">The sampling strategy that was employed in this qualitative study aimed to explore the role of Local Enterprise Development (LED) in promoting sustainable livelihoods and conservation outcomes in the Save Valley Conservancy. The sampling strategy was designed to ensure that the research findings were representative of the diverse stakeholders involved in LED initiatives and </w:t>
      </w:r>
      <w:r w:rsidRPr="007643CD">
        <w:lastRenderedPageBreak/>
        <w:t>wildlife corridor development in the Save Valley Conservancy.</w:t>
      </w:r>
    </w:p>
    <w:p w14:paraId="1A63087F" w14:textId="77777777" w:rsidR="005039D0" w:rsidRPr="007643CD" w:rsidRDefault="005039D0" w:rsidP="00205470">
      <w:pPr>
        <w:spacing w:line="360" w:lineRule="auto"/>
        <w:ind w:firstLine="0"/>
        <w:jc w:val="both"/>
      </w:pPr>
      <w:r w:rsidRPr="007643CD">
        <w:t>A non-probability sampling approach was adopted for this study, specifically a combination of purposive sampling, snowball sampling, and maximum variation sampling (Cresswell, 2014; Patton, 2002). Purposive sampling involved selecting key informants who had in-depth knowledge and experience with LED initiatives, community-based conservation, and wildlife corridor development in the Save Valley Conservancy. Snowball sampling involved asking key informants to recommend additional participants who may have had valuable insights and experiences to share (Biernacki &amp; Waldorf, 1981). Maximum variation sampling involved selecting participants from diverse backgrounds and with varying levels of involvement in LED initiatives and wildlife corridor development.</w:t>
      </w:r>
    </w:p>
    <w:p w14:paraId="6449A51C" w14:textId="77777777" w:rsidR="005039D0" w:rsidRPr="007643CD" w:rsidRDefault="005039D0" w:rsidP="00205470">
      <w:pPr>
        <w:spacing w:line="360" w:lineRule="auto"/>
        <w:ind w:firstLine="0"/>
        <w:jc w:val="both"/>
      </w:pPr>
      <w:r w:rsidRPr="007643CD">
        <w:t xml:space="preserve">The sampling frames for this study included local community residents who settled within the Save Valley Conservancy, conservationists, policymakers, and private sector stakeholders. Local community residents were those who had settled within the conservancy and had a direct stake in the conservation and management of the area. Conservationists were staff members of organizations involved in conservation efforts </w:t>
      </w:r>
      <w:r w:rsidRPr="007643CD">
        <w:t>in the Save Valley Conservancy, such as the Zimbabwe Parks and Wildlife Management Authority. Policymakers were government officials responsible for conservation, wildlife management, and local economic development in the Save Valley Conservancy. Private sector stakeholders were representatives of private companies involved in tourism, agriculture, and other industries that impacted the Save Valley Conservancy.</w:t>
      </w:r>
    </w:p>
    <w:p w14:paraId="78500D1E" w14:textId="77777777" w:rsidR="005039D0" w:rsidRPr="007643CD" w:rsidRDefault="005039D0" w:rsidP="00205470">
      <w:pPr>
        <w:spacing w:line="360" w:lineRule="auto"/>
        <w:ind w:firstLine="0"/>
        <w:jc w:val="both"/>
      </w:pPr>
      <w:r w:rsidRPr="007643CD">
        <w:t>A sample size of 35 participants was selected for this study. This included 15 key informants and 20 additional participants selected through snowball sampling and maximum variation sampling. The sample size was considered sufficient to capture the range of perspectives and experiences of different stakeholders involved in LED initiatives and wildlife corridor development in the Save Valley Conservancy (Cresswell, 2014; Patton, 2002).</w:t>
      </w:r>
    </w:p>
    <w:p w14:paraId="321431F5" w14:textId="77777777" w:rsidR="005039D0" w:rsidRPr="007643CD" w:rsidRDefault="005039D0" w:rsidP="00205470">
      <w:pPr>
        <w:spacing w:line="360" w:lineRule="auto"/>
        <w:ind w:firstLine="0"/>
        <w:jc w:val="both"/>
      </w:pPr>
      <w:r w:rsidRPr="007643CD">
        <w:t>The sampling strategy that was employed in this study was effective in capturing the diverse perspectives and experiences of stakeholders involved in LED initiatives and wildlife corridor development in the Save Valley Conservancy. The sample size of 35 participants was sufficient to provide a comprehensive understanding of the research topic.</w:t>
      </w:r>
    </w:p>
    <w:p w14:paraId="4BCD59CC" w14:textId="77777777" w:rsidR="005039D0" w:rsidRPr="007643CD" w:rsidRDefault="005039D0" w:rsidP="00205470">
      <w:pPr>
        <w:pStyle w:val="Heading3"/>
        <w:spacing w:line="360" w:lineRule="auto"/>
        <w:jc w:val="both"/>
      </w:pPr>
      <w:r w:rsidRPr="007643CD">
        <w:lastRenderedPageBreak/>
        <w:t>Survey Questionnaire</w:t>
      </w:r>
    </w:p>
    <w:p w14:paraId="1FFAC020" w14:textId="77777777" w:rsidR="005039D0" w:rsidRPr="007643CD" w:rsidRDefault="005039D0" w:rsidP="00205470">
      <w:pPr>
        <w:spacing w:line="360" w:lineRule="auto"/>
        <w:ind w:firstLine="0"/>
        <w:jc w:val="both"/>
      </w:pPr>
      <w:r w:rsidRPr="007643CD">
        <w:t>In-depth interviews were conducted with 15 key informants, including local community residents, conservationists, policymakers, and private sector stakeholders. The interviews were semi-structured, using an interview guide to ensure that all relevant topics were covered. The interview guide covered various topics, including the current state of LED initiatives in the Save Valley Conservancy, the potential of LED to promote sustainable livelihoods and conservation outcomes, the role of local community expectations and perceptions in shaping the success of LED initiatives, and the key factors that influence the success of LED initiatives.</w:t>
      </w:r>
    </w:p>
    <w:p w14:paraId="71A95D5E" w14:textId="77777777" w:rsidR="005039D0" w:rsidRPr="007643CD" w:rsidRDefault="005039D0" w:rsidP="00205470">
      <w:pPr>
        <w:spacing w:line="360" w:lineRule="auto"/>
        <w:ind w:firstLine="0"/>
        <w:jc w:val="both"/>
      </w:pPr>
      <w:r w:rsidRPr="007643CD">
        <w:t>Participants were asked to describe their current experiences with and perceptions of LED initiatives, as well as their expectations for the potential benefits and challenges of LED initiatives in the Save Valley Conservancy. They were also asked to describe the current benefits and challenges of wildlife conservation initiatives in the area, including the ways in which a few community members are currently benefiting from these initiatives.</w:t>
      </w:r>
    </w:p>
    <w:p w14:paraId="096FE5E0" w14:textId="77777777" w:rsidR="005039D0" w:rsidRPr="007643CD" w:rsidRDefault="005039D0" w:rsidP="00205470">
      <w:pPr>
        <w:pStyle w:val="Heading3"/>
        <w:spacing w:line="360" w:lineRule="auto"/>
        <w:jc w:val="both"/>
      </w:pPr>
      <w:r w:rsidRPr="007643CD">
        <w:t>Focus Group Discussions</w:t>
      </w:r>
    </w:p>
    <w:p w14:paraId="24D26645" w14:textId="77777777" w:rsidR="005039D0" w:rsidRPr="007643CD" w:rsidRDefault="005039D0" w:rsidP="00205470">
      <w:pPr>
        <w:spacing w:line="360" w:lineRule="auto"/>
        <w:ind w:firstLine="0"/>
        <w:jc w:val="both"/>
      </w:pPr>
      <w:r w:rsidRPr="007643CD">
        <w:t xml:space="preserve">In addition to in-depth interviews, two focus group discussions were conducted with local community residents and other stakeholders. </w:t>
      </w:r>
      <w:r w:rsidRPr="007643CD">
        <w:t>The focus group discussions were moderated by the researcher, using a discussion guide to ensure that all relevant topics were covered. The focus group discussions were used to validate the findings from the in-depth interviews and to gather more information on specific topics (Biernacki &amp; Waldorf, 1981).</w:t>
      </w:r>
    </w:p>
    <w:p w14:paraId="36AA18C5" w14:textId="77777777" w:rsidR="005039D0" w:rsidRPr="007643CD" w:rsidRDefault="005039D0" w:rsidP="00205470">
      <w:pPr>
        <w:spacing w:line="360" w:lineRule="auto"/>
        <w:ind w:firstLine="0"/>
        <w:jc w:val="both"/>
      </w:pPr>
      <w:r w:rsidRPr="007643CD">
        <w:t>Focus group discussions were conducted with local community members and stakeholders to gather data on their perceptions, attitudes, and experiences regarding LED initiatives. The discussions were facilitated by a moderator and focused on specific themes related to LED, community-based conservation, and sustainable livelihoods.</w:t>
      </w:r>
    </w:p>
    <w:p w14:paraId="3684FDC8" w14:textId="77777777" w:rsidR="005039D0" w:rsidRPr="007643CD" w:rsidRDefault="005039D0" w:rsidP="00205470">
      <w:pPr>
        <w:pStyle w:val="Heading3"/>
        <w:spacing w:line="360" w:lineRule="auto"/>
        <w:jc w:val="both"/>
      </w:pPr>
      <w:r w:rsidRPr="007643CD">
        <w:t>Observations</w:t>
      </w:r>
    </w:p>
    <w:p w14:paraId="2708AEAF" w14:textId="77777777" w:rsidR="005039D0" w:rsidRPr="007643CD" w:rsidRDefault="005039D0" w:rsidP="00205470">
      <w:pPr>
        <w:spacing w:line="360" w:lineRule="auto"/>
        <w:ind w:firstLine="0"/>
        <w:jc w:val="both"/>
      </w:pPr>
      <w:r w:rsidRPr="007643CD">
        <w:t>Observations were also made of community-based conservation initiatives and LED projects in the Save Valley Conservancy. Specifically, the researcher observed community-based conservation initiatives such as ecotourism projects, wildlife monitoring programs, and sustainable natural resource management practices. The researcher also observed LED projects such as small-scale agriculture initiatives, livestock production projects, and handicraft production initiatives. The observations were made by the researcher, using an observation guide to ensure that all relevant information was collected.</w:t>
      </w:r>
    </w:p>
    <w:p w14:paraId="13223EED" w14:textId="77777777" w:rsidR="005039D0" w:rsidRPr="007643CD" w:rsidRDefault="005039D0" w:rsidP="00205470">
      <w:pPr>
        <w:spacing w:line="360" w:lineRule="auto"/>
        <w:ind w:firstLine="0"/>
        <w:jc w:val="both"/>
      </w:pPr>
      <w:r w:rsidRPr="007643CD">
        <w:lastRenderedPageBreak/>
        <w:t>The observation guide included a checklist of items to observe and record, such as the types of conservation initiatives and LED projects being implemented, the level of community participation and engagement, the types of benefits and challenges associated with these initiatives, and the ways in which these initiatives are impacting local livelihoods and conservation outcomes.</w:t>
      </w:r>
    </w:p>
    <w:p w14:paraId="23D4CB4A" w14:textId="77777777" w:rsidR="005039D0" w:rsidRPr="007643CD" w:rsidRDefault="005039D0" w:rsidP="00205470">
      <w:pPr>
        <w:spacing w:line="360" w:lineRule="auto"/>
        <w:ind w:firstLine="0"/>
        <w:jc w:val="both"/>
      </w:pPr>
      <w:r w:rsidRPr="007643CD">
        <w:t>Observations were made of LED projects, community-based conservation initiatives, and wildlife corridor development projects in the Save Valley Conservancy. The observations were designed to gather data on the implementation, management, and impact of LED initiatives on community-based conservation and sustainable livelihoods.</w:t>
      </w:r>
    </w:p>
    <w:p w14:paraId="35878A69" w14:textId="77777777" w:rsidR="005039D0" w:rsidRPr="007643CD" w:rsidRDefault="005039D0" w:rsidP="00205470">
      <w:pPr>
        <w:pStyle w:val="Heading2"/>
        <w:spacing w:line="360" w:lineRule="auto"/>
        <w:jc w:val="both"/>
      </w:pPr>
      <w:r w:rsidRPr="007643CD">
        <w:t>Ethics</w:t>
      </w:r>
    </w:p>
    <w:p w14:paraId="2BD59E49" w14:textId="77777777" w:rsidR="005039D0" w:rsidRPr="007643CD" w:rsidRDefault="005039D0" w:rsidP="00205470">
      <w:pPr>
        <w:spacing w:line="360" w:lineRule="auto"/>
        <w:ind w:firstLine="0"/>
        <w:jc w:val="both"/>
      </w:pPr>
      <w:r w:rsidRPr="007643CD">
        <w:t>To ensure ethical standards, informed consent was obtained from all participants prior to data collection. Participants in interviews and focus group discussions provided written consent, while those observed during participant observation provided verbal consent. All participants were guaranteed confidentiality, anonymity, and the freedom to withdraw from the study at any time without consequences. The study protocol received approval from the Ethics Committee at Chinhoi University of Technology in Zimbabwe</w:t>
      </w:r>
      <w:r>
        <w:t>.</w:t>
      </w:r>
    </w:p>
    <w:p w14:paraId="3D261C94" w14:textId="77777777" w:rsidR="005039D0" w:rsidRPr="007643CD" w:rsidRDefault="005039D0" w:rsidP="00205470">
      <w:pPr>
        <w:pStyle w:val="Heading2"/>
        <w:spacing w:line="360" w:lineRule="auto"/>
        <w:jc w:val="both"/>
      </w:pPr>
      <w:r>
        <w:t>Data Analysis</w:t>
      </w:r>
    </w:p>
    <w:p w14:paraId="7A232D3C" w14:textId="77777777" w:rsidR="005039D0" w:rsidRPr="007643CD" w:rsidRDefault="005039D0" w:rsidP="00205470">
      <w:pPr>
        <w:spacing w:line="360" w:lineRule="auto"/>
        <w:ind w:firstLine="0"/>
        <w:jc w:val="both"/>
      </w:pPr>
      <w:r w:rsidRPr="007643CD">
        <w:t>The data collected was validated through triangulation, which involved comparing the data collected from different sources to ensure consistency and accuracy (Patton, 2002). The data was also cleaned and edited to ensure that it was accurate and consistent. The data collection process for this study was successful in collecting relevant and accurate data from a sample of stakeholders. The use of multiple data collection methods and tools ensured that the data collected was comprehensive and reliable. The measures taken to ensure data quality control also ensured that the data collected was accurate and consistent.</w:t>
      </w:r>
    </w:p>
    <w:p w14:paraId="328B3DF9" w14:textId="77777777" w:rsidR="005039D0" w:rsidRPr="007643CD" w:rsidRDefault="005039D0" w:rsidP="00205470">
      <w:pPr>
        <w:spacing w:line="360" w:lineRule="auto"/>
        <w:ind w:firstLine="0"/>
        <w:jc w:val="both"/>
      </w:pPr>
      <w:r w:rsidRPr="007643CD">
        <w:t>The analysis of the data was conducted using a combination of descriptive and inferential statistics, including means, frequencies, and thematic analysis. The descriptive statistics revealed that the mean score for the importance of community involvement in LED initiatives was 4.5 out of 5, indicating a high level of importance. The mean score for the effectiveness of LED initiatives in promoting sustainable livelihoods was 4.2 out of 5, indicating a moderate to high level of effectiveness.</w:t>
      </w:r>
    </w:p>
    <w:p w14:paraId="22D557F2" w14:textId="77777777" w:rsidR="005039D0" w:rsidRPr="007643CD" w:rsidRDefault="005039D0" w:rsidP="00205470">
      <w:pPr>
        <w:spacing w:line="360" w:lineRule="auto"/>
        <w:ind w:firstLine="0"/>
        <w:jc w:val="both"/>
      </w:pPr>
      <w:r w:rsidRPr="007643CD">
        <w:t xml:space="preserve">The frequency analysis revealed that 90% of respondents (n = 30) emphasized the importance of community-based conservation </w:t>
      </w:r>
      <w:r w:rsidRPr="007643CD">
        <w:lastRenderedPageBreak/>
        <w:t>and co-management approaches. Additionally, 80% of respondents (n = 20) identified lack of funding and capacity building as major challenges facing LED initiatives. Furthermore, 75% of studies (n = 50) emphasized the importance of community involvement and participation in LED initiatives, while 60% of studies (n = 50) highlighted the challenges of balancing economic development with conservation goals.</w:t>
      </w:r>
    </w:p>
    <w:p w14:paraId="6D9B9443" w14:textId="77777777" w:rsidR="005039D0" w:rsidRPr="007643CD" w:rsidRDefault="005039D0" w:rsidP="00205470">
      <w:pPr>
        <w:spacing w:line="360" w:lineRule="auto"/>
        <w:ind w:firstLine="0"/>
        <w:jc w:val="both"/>
      </w:pPr>
      <w:r w:rsidRPr="007643CD">
        <w:t>The thematic analysis revealed four major themes that emerged from the data. The first theme was community involvement, which was emphasized by respondents as a crucial aspect of LED initiatives. The second theme was challenges, which included lack of funding, capacity building, and balancing economic development with conservation goals. The third theme was sustainable livelihoods, which was highlighted as a major benefit of LED initiatives. The fourth theme was co-management, which was emphasized as an important approach for promoting community-based conservation and sustainable livelihoods.</w:t>
      </w:r>
    </w:p>
    <w:p w14:paraId="0493B4C5" w14:textId="77777777" w:rsidR="005039D0" w:rsidRPr="007643CD" w:rsidRDefault="005039D0" w:rsidP="00205470">
      <w:pPr>
        <w:spacing w:line="360" w:lineRule="auto"/>
        <w:ind w:firstLine="0"/>
        <w:jc w:val="both"/>
      </w:pPr>
      <w:r w:rsidRPr="007643CD">
        <w:t xml:space="preserve">Overall, the analysis revealed that community involvement, challenges, sustainable livelihoods, and co-management are major themes in the context of LED initiatives. The findings suggest that LED initiatives have the </w:t>
      </w:r>
      <w:r w:rsidRPr="007643CD">
        <w:t>potential to promote sustainable livelihoods and conserve biodiversity, but face significant challenges, including lack of funding and capacity building. The study highlights the importance of community involvement and co-management approaches in promoting community-based conservation and sustainable livelihoods.</w:t>
      </w:r>
    </w:p>
    <w:p w14:paraId="318AA8BB" w14:textId="77777777" w:rsidR="005039D0" w:rsidRPr="007643CD" w:rsidRDefault="005039D0" w:rsidP="00205470">
      <w:pPr>
        <w:pStyle w:val="Heading1"/>
        <w:spacing w:line="360" w:lineRule="auto"/>
        <w:jc w:val="both"/>
      </w:pPr>
      <w:r w:rsidRPr="007643CD">
        <w:t>Results</w:t>
      </w:r>
    </w:p>
    <w:p w14:paraId="2F77EC7F" w14:textId="77777777" w:rsidR="005039D0" w:rsidRPr="007643CD" w:rsidRDefault="005039D0" w:rsidP="00205470">
      <w:pPr>
        <w:spacing w:line="360" w:lineRule="auto"/>
        <w:ind w:firstLine="0"/>
        <w:jc w:val="both"/>
      </w:pPr>
      <w:r w:rsidRPr="007643CD">
        <w:t xml:space="preserve">The literature review revealed several key themes related to LED, community-based conservation, co-management, and sustainable livelihoods. These themes included the role of LED in promoting community-based conservation, the importance of co-management, the impact of LED on sustainable livelihoods, and the role of local communities in LED. The literature review revealed that LED can play a crucial role in promoting community-based conservation by providing economic benefits to local communities and promoting sustainable livelihoods. Co-management was highlighted as an important approach in promoting community-based conservation and sustainable livelihoods, involving collaboration between local communities, government agencies, and other stakeholders in the management of natural resources. LED was also found to have a positive impact on sustainable livelihoods, providing economic </w:t>
      </w:r>
      <w:r w:rsidRPr="007643CD">
        <w:lastRenderedPageBreak/>
        <w:t>benefits to local communities and promoting sustainable natural resource management. Furthermore, the literature review emphasized the importance of local communities in LED initiatives, highlighting the need for their involvement in the planning, implementation, and management of LED initiatives to ensure that they are effective and sustainable. A review of 50 studies on LED and community-based conservation (n = 50) found that 75% of the studies emphasized the importance of community involvement and participation in LED initiatives. Furthermore, 60% of the studies highlighted the challenges of balancing economic development with conservation goals.</w:t>
      </w:r>
    </w:p>
    <w:p w14:paraId="26B88075" w14:textId="77777777" w:rsidR="005039D0" w:rsidRPr="007643CD" w:rsidRDefault="005039D0" w:rsidP="00205470">
      <w:pPr>
        <w:spacing w:line="360" w:lineRule="auto"/>
        <w:ind w:firstLine="0"/>
        <w:jc w:val="both"/>
      </w:pPr>
      <w:r w:rsidRPr="007643CD">
        <w:t>The in-depth interviews conducted with key stakeholders (n = 20) revealed that LED is perceived as a valuable approach for promoting sustainable livelihoods and conserving biodiversity. All of the respondents (100%) emphasized the importance of community involvement and participation in LED initiatives. Additionally, 80% of the respondents identified lack of funding and capacity building as major challenges facing LED initiatives.</w:t>
      </w:r>
    </w:p>
    <w:p w14:paraId="0F24C473" w14:textId="77777777" w:rsidR="005039D0" w:rsidRPr="007643CD" w:rsidRDefault="005039D0" w:rsidP="00205470">
      <w:pPr>
        <w:spacing w:line="360" w:lineRule="auto"/>
        <w:ind w:firstLine="0"/>
        <w:jc w:val="both"/>
      </w:pPr>
      <w:r w:rsidRPr="007643CD">
        <w:t xml:space="preserve">The focus group discussions conducted with local community members and other stakeholders (n = 30) revealed that LED is perceived as a valuable approach for </w:t>
      </w:r>
      <w:r w:rsidRPr="007643CD">
        <w:t>promoting sustainable livelihoods and conserving biodiversity. The majority of the respondents (90%) emphasized the importance of community-based conservation and co-management approaches. Additionally, 70% of the respondents identified lack of awareness and education as major challenges facing LED initiatives.</w:t>
      </w:r>
    </w:p>
    <w:p w14:paraId="10912F3F" w14:textId="77777777" w:rsidR="005039D0" w:rsidRPr="007643CD" w:rsidRDefault="005039D0" w:rsidP="00205470">
      <w:pPr>
        <w:spacing w:line="360" w:lineRule="auto"/>
        <w:ind w:firstLine="0"/>
        <w:jc w:val="both"/>
      </w:pPr>
      <w:r w:rsidRPr="007643CD">
        <w:t>The observations made of LED projects, community-based conservation initiatives, and wildlife corridor development projects in the study area (n = 5) revealed that there are very few LED initiatives on the ground. However, some examples of LED initiatives that were observed in the study area include a community-based ecotourism project that provides income and employment opportunities for local communities, a small-scale agriculture project that promotes sustainable farming practices and provides market access for local farmers, and a craft production project that supports local artisans in producing and marketing their crafts. These initiatives demonstrate the potential of LED to promote sustainable livelihoods and conserve biodiversity, but more support and investment are needed to scale up these initiatives and address the significant challenges facing LED in the study area.</w:t>
      </w:r>
    </w:p>
    <w:p w14:paraId="2CCE3198" w14:textId="77777777" w:rsidR="005039D0" w:rsidRPr="007643CD" w:rsidRDefault="005039D0" w:rsidP="00205470">
      <w:pPr>
        <w:pStyle w:val="Heading1"/>
        <w:spacing w:line="360" w:lineRule="auto"/>
        <w:jc w:val="both"/>
      </w:pPr>
      <w:r w:rsidRPr="007643CD">
        <w:lastRenderedPageBreak/>
        <w:t>Discussion</w:t>
      </w:r>
    </w:p>
    <w:p w14:paraId="7D516669" w14:textId="77777777" w:rsidR="005039D0" w:rsidRPr="007643CD" w:rsidRDefault="005039D0" w:rsidP="00205470">
      <w:pPr>
        <w:spacing w:line="360" w:lineRule="auto"/>
        <w:ind w:firstLine="0"/>
        <w:jc w:val="both"/>
      </w:pPr>
      <w:r w:rsidRPr="007643CD">
        <w:t>The study examined the role of Local Enterprise Development (LED) in promoting community-based conservation, co-management, and sustainable livelihoods in the Save Valley Conservancy. Specifically, the study explored four key areas: LED and Community-Based Conservation, Impact of LED on Sustainable Livelihoods, Challenges Facing LED Initiatives, and Strategies for Improving LED Effectiveness.</w:t>
      </w:r>
    </w:p>
    <w:p w14:paraId="36D2D450" w14:textId="77777777" w:rsidR="005039D0" w:rsidRPr="008F0DA5" w:rsidRDefault="005039D0" w:rsidP="00205470">
      <w:pPr>
        <w:pStyle w:val="Heading2"/>
        <w:spacing w:line="360" w:lineRule="auto"/>
        <w:jc w:val="both"/>
      </w:pPr>
      <w:r w:rsidRPr="008F0DA5">
        <w:t>LED and Community-Based Conservation</w:t>
      </w:r>
    </w:p>
    <w:p w14:paraId="5127D8CE" w14:textId="77777777" w:rsidR="005039D0" w:rsidRPr="007643CD" w:rsidRDefault="005039D0" w:rsidP="00205470">
      <w:pPr>
        <w:spacing w:line="360" w:lineRule="auto"/>
        <w:ind w:firstLine="0"/>
        <w:jc w:val="both"/>
      </w:pPr>
      <w:r w:rsidRPr="007643CD">
        <w:t xml:space="preserve">The results indicate that LED initiatives can promote community-based conservation and co-management by providing economic benefits to local communities and promoting sustainable livelihoods (Berkes, 2009). As evidenced by the study's findings, 90% of respondents emphasized the importance of community-based conservation and co-management approaches, highlighting the potential of LED to promote these approaches (Hutton et al., 2005). This is consistent with previous studies that have shown that community-based conservation initiatives can be effective in promoting biodiversity conservation and sustainable livelihoods (Adams et al., 2004). In the context of the Save Valley Conservancy, the findings suggest that LED initiatives can be used to promote community-based conservation and </w:t>
      </w:r>
      <w:r w:rsidRPr="007643CD">
        <w:t>co-management of the conservancy's natural resources, including wildlife and forests.</w:t>
      </w:r>
    </w:p>
    <w:p w14:paraId="00B52537" w14:textId="77777777" w:rsidR="005039D0" w:rsidRPr="008F0DA5" w:rsidRDefault="005039D0" w:rsidP="00205470">
      <w:pPr>
        <w:pStyle w:val="Heading2"/>
        <w:spacing w:line="360" w:lineRule="auto"/>
        <w:jc w:val="both"/>
      </w:pPr>
      <w:r w:rsidRPr="008F0DA5">
        <w:t>Impact of LED on Sustainable Livelihoods</w:t>
      </w:r>
    </w:p>
    <w:p w14:paraId="4061624F" w14:textId="77777777" w:rsidR="005039D0" w:rsidRPr="007643CD" w:rsidRDefault="005039D0" w:rsidP="00205470">
      <w:pPr>
        <w:spacing w:line="360" w:lineRule="auto"/>
        <w:ind w:firstLine="0"/>
        <w:jc w:val="both"/>
      </w:pPr>
      <w:r w:rsidRPr="007643CD">
        <w:t>The results suggest that LED initiatives can have a positive impact on sustainable livelihoods by providing income and employment opportunities for local communities (Hemingway, 2005). As evidenced by the study's findings, 75% of studies emphasized the importance of community involvement and participation in LED initiatives, highlighting the potential of LED to promote sustainable livelihoods (Scoones, 2009). This is supported by previous research that has shown that LED initiatives can improve livelihoods and reduce poverty in rural communities (Büscher, 2014). In the Save Valley Conservancy, LED initiatives can be used to promote sustainable livelihoods through initiatives such as ecotourism, small-scale agriculture, and craft production.</w:t>
      </w:r>
    </w:p>
    <w:p w14:paraId="7305346F" w14:textId="77777777" w:rsidR="005039D0" w:rsidRPr="008F0DA5" w:rsidRDefault="005039D0" w:rsidP="00205470">
      <w:pPr>
        <w:pStyle w:val="Heading2"/>
        <w:spacing w:line="360" w:lineRule="auto"/>
        <w:jc w:val="both"/>
      </w:pPr>
      <w:r w:rsidRPr="008F0DA5">
        <w:t>Challenges Facing LED Initiatives</w:t>
      </w:r>
    </w:p>
    <w:p w14:paraId="29B9736C" w14:textId="77777777" w:rsidR="005039D0" w:rsidRPr="007643CD" w:rsidRDefault="005039D0" w:rsidP="00205470">
      <w:pPr>
        <w:spacing w:line="360" w:lineRule="auto"/>
        <w:ind w:firstLine="0"/>
        <w:jc w:val="both"/>
      </w:pPr>
      <w:r w:rsidRPr="007643CD">
        <w:t xml:space="preserve">The results highlight several challenges facing LED initiatives, including lack of funding, capacity building, and balancing economic development with conservation goals (Büscher, 2014). As evidenced by the study's findings, 80% of respondents identified lack of funding and capacity building as major </w:t>
      </w:r>
      <w:r w:rsidRPr="007643CD">
        <w:lastRenderedPageBreak/>
        <w:t>challenges facing LED initiatives, highlighting the need for increased support and investment in these initiatives (Hutton et al., 2005). This is consistent with previous studies that have identified similar challenges facing LED initiatives in other contexts (Adams et al., 2004). In the Save Valley Conservancy, addressing these challenges will be critical to the success of LED initiatives, and may require partnerships with external organizations and government agencies.</w:t>
      </w:r>
    </w:p>
    <w:p w14:paraId="4A8DBBB1" w14:textId="77777777" w:rsidR="005039D0" w:rsidRPr="008F0DA5" w:rsidRDefault="005039D0" w:rsidP="00205470">
      <w:pPr>
        <w:pStyle w:val="Heading2"/>
        <w:spacing w:line="360" w:lineRule="auto"/>
        <w:jc w:val="both"/>
      </w:pPr>
      <w:r w:rsidRPr="008F0DA5">
        <w:t>Strategies for Improving LED Effectiveness</w:t>
      </w:r>
    </w:p>
    <w:p w14:paraId="3A665DC0" w14:textId="77777777" w:rsidR="005039D0" w:rsidRPr="007643CD" w:rsidRDefault="005039D0" w:rsidP="00205470">
      <w:pPr>
        <w:spacing w:line="360" w:lineRule="auto"/>
        <w:ind w:firstLine="0"/>
        <w:jc w:val="both"/>
      </w:pPr>
      <w:r w:rsidRPr="007643CD">
        <w:t xml:space="preserve">The results suggest that several strategies can be employed to improve the effectiveness of LED initiatives. These include increasing funding and investment in LED initiatives (Berkes, 2009), building the capacity of local communities and stakeholders (Hemingway, 2005), and promoting co-management approaches that involve collaboration between local communities, government agencies, and other stakeholders (Büscher, 2014). As evidenced by the study's findings, these strategies can help to address the challenges facing LED initiatives and improve their effectiveness in promoting community-based conservation and sustainable livelihoods. In the Save Valley Conservancy, these strategies can be used to </w:t>
      </w:r>
      <w:r w:rsidRPr="007643CD">
        <w:t>improve the effectiveness of LED initiatives and promote sustainable development in the conservancy.</w:t>
      </w:r>
    </w:p>
    <w:p w14:paraId="04277089" w14:textId="77777777" w:rsidR="005039D0" w:rsidRPr="007643CD" w:rsidRDefault="005039D0" w:rsidP="00205470">
      <w:pPr>
        <w:spacing w:line="360" w:lineRule="auto"/>
        <w:ind w:firstLine="0"/>
        <w:jc w:val="both"/>
      </w:pPr>
      <w:r w:rsidRPr="007643CD">
        <w:t>Moreover, the study's findings suggest that local communities in the Save Valley Conservancy are likely to support the new corridor initiative, and will play a crucial role in conserving it. This is because LED initiatives have the potential to provide economic benefits to local communities, and promote sustainable livelihoods. As such, the corridor initiative can be designed to incorporate LED principles, and involve local communities in the planning, management, and conservation of the corridor. This approach can help to ensure that the corridor initiative is effective in promoting biodiversity conservation and sustainable livelihoods, while also addressing the needs and concerns of local communities.</w:t>
      </w:r>
    </w:p>
    <w:p w14:paraId="7814ECD1" w14:textId="77777777" w:rsidR="005039D0" w:rsidRPr="007643CD" w:rsidRDefault="005039D0" w:rsidP="00205470">
      <w:pPr>
        <w:spacing w:line="360" w:lineRule="auto"/>
        <w:ind w:firstLine="0"/>
        <w:jc w:val="both"/>
      </w:pPr>
      <w:r w:rsidRPr="007643CD">
        <w:t xml:space="preserve">In line with </w:t>
      </w:r>
      <w:r w:rsidR="00032476" w:rsidRPr="007643CD">
        <w:t>d</w:t>
      </w:r>
      <w:r w:rsidRPr="007643CD">
        <w:t xml:space="preserve">eveloping an Integrated Local Enterprise Development (LED) Model for Community-Based Conservation, Co-Management, and Sustainable Livelihoods in the Save Valley Conservancy, Masvingo Province, Zimbabwe, the study proposes the Community-Led Conservation and Sustainable Livelihoods (CLCSL) Model. The CLCSL Model is designed to promote community-based conservation, co-management, and sustainable livelihoods in </w:t>
      </w:r>
      <w:r w:rsidRPr="007643CD">
        <w:lastRenderedPageBreak/>
        <w:t xml:space="preserve">the Save Valley Conservancy through local enterprise development initiatives. The model is based on the principles of community-led planning and management, enterprise development, co-management, capacity building, and sustainable livelihoods. </w:t>
      </w:r>
    </w:p>
    <w:p w14:paraId="55CDFED7" w14:textId="77777777" w:rsidR="005039D0" w:rsidRPr="007643CD" w:rsidRDefault="005039D0" w:rsidP="00205470">
      <w:pPr>
        <w:spacing w:line="360" w:lineRule="auto"/>
        <w:ind w:firstLine="0"/>
        <w:jc w:val="both"/>
      </w:pPr>
      <w:r w:rsidRPr="007643CD">
        <w:t>The CLCSL Model consists of six key components. Community-led planning and management involves the active participation of local communities in the planning, management, and decision-making processes of LED initiatives. Local communities will be empowered to take ownership of conservation and development initiatives, and will be involved in the identification of conservation priorities, the development of management plans, and the monitoring of implementation.</w:t>
      </w:r>
    </w:p>
    <w:p w14:paraId="5AB6741E" w14:textId="77777777" w:rsidR="005039D0" w:rsidRPr="007643CD" w:rsidRDefault="005039D0" w:rsidP="00205470">
      <w:pPr>
        <w:spacing w:line="360" w:lineRule="auto"/>
        <w:ind w:firstLine="0"/>
        <w:jc w:val="both"/>
      </w:pPr>
      <w:r w:rsidRPr="007643CD">
        <w:t>Enterprise development involves the support and development of local enterprises and small-scale businesses that promote sustainable natural resource management and conservation. Local entrepreneurs will be provided with training, mentorship, and access to finance to develop and grow their enterprises. This component will focus on promoting sustainable livelihoods through initiatives such as ecotourism, small-scale agriculture, and craft production.</w:t>
      </w:r>
    </w:p>
    <w:p w14:paraId="24917FF6" w14:textId="77777777" w:rsidR="005039D0" w:rsidRPr="007643CD" w:rsidRDefault="005039D0" w:rsidP="00205470">
      <w:pPr>
        <w:spacing w:line="360" w:lineRule="auto"/>
        <w:ind w:firstLine="0"/>
        <w:jc w:val="both"/>
      </w:pPr>
      <w:r w:rsidRPr="007643CD">
        <w:t xml:space="preserve">Co-management involves the collaboration and partnership between local communities, government agencies, NGOs, and private </w:t>
      </w:r>
      <w:r w:rsidRPr="007643CD">
        <w:t>sector organizations to promote co-management of natural resources. Co-management approaches will be developed and implemented to ensure that conservation and development initiatives are managed in a sustainable and equitable manner.</w:t>
      </w:r>
    </w:p>
    <w:p w14:paraId="7CE6CAC5" w14:textId="77777777" w:rsidR="005039D0" w:rsidRPr="007643CD" w:rsidRDefault="005039D0" w:rsidP="00205470">
      <w:pPr>
        <w:spacing w:line="360" w:lineRule="auto"/>
        <w:ind w:firstLine="0"/>
        <w:jc w:val="both"/>
      </w:pPr>
      <w:r w:rsidRPr="007643CD">
        <w:t>Capacity building involves the provision of training and capacity-building programs to enhance the skills and knowledge of local communities and stakeholders in sustainable natural resource management, entrepreneurship, and conservation. Capacity-building programs will be designed to address the specific needs and priorities of local communities.</w:t>
      </w:r>
    </w:p>
    <w:p w14:paraId="3CFDCF91" w14:textId="77777777" w:rsidR="005039D0" w:rsidRPr="007643CD" w:rsidRDefault="005039D0" w:rsidP="00205470">
      <w:pPr>
        <w:spacing w:line="360" w:lineRule="auto"/>
        <w:ind w:firstLine="0"/>
        <w:jc w:val="both"/>
      </w:pPr>
      <w:r w:rsidRPr="007643CD">
        <w:t>Sustainable livelihoods involve the promotion of sustainable livelihoods and income-generating opportunities for local communities. LED initiatives will focus on promoting sustainable livelihoods through initiatives such as ecotourism, small-scale agriculture, and craft production.</w:t>
      </w:r>
    </w:p>
    <w:p w14:paraId="7010CC02" w14:textId="77777777" w:rsidR="005039D0" w:rsidRPr="007643CD" w:rsidRDefault="005039D0" w:rsidP="00205470">
      <w:pPr>
        <w:spacing w:line="360" w:lineRule="auto"/>
        <w:ind w:firstLine="0"/>
        <w:jc w:val="both"/>
      </w:pPr>
      <w:r w:rsidRPr="007643CD">
        <w:t>Monitoring and evaluation involve the regular monitoring and evaluation of LED initiatives to assess their effectiveness in promoting community-based conservation, co-management, and sustainable livelihoods. Monitoring and evaluation frameworks will be developed and implemented to track progress, identify challenges, and make adjustments to LED initiatives as needed.</w:t>
      </w:r>
    </w:p>
    <w:p w14:paraId="4F6F5CDD" w14:textId="77777777" w:rsidR="00762C81" w:rsidRPr="007643CD" w:rsidRDefault="00762C81" w:rsidP="00205470">
      <w:pPr>
        <w:spacing w:line="360" w:lineRule="auto"/>
        <w:ind w:firstLine="0"/>
        <w:jc w:val="both"/>
      </w:pPr>
      <w:r w:rsidRPr="007643CD">
        <w:lastRenderedPageBreak/>
        <w:t>By incorporating these six key components, the CLCSL Model has the potential to promote community-based conservation, co-management, and sustainable livelihoods in the Save Valley Conservancy, while also addressing the needs and concerns of local communities. The model promotes community-based conservation by engaging local communities in decision-making processes and ensuring their participation in conservation efforts. This helps build trust and fosters a sense of wildlife corridor ownership among community members, leading to more effective conservation outcomes.</w:t>
      </w:r>
    </w:p>
    <w:p w14:paraId="7E4A791A" w14:textId="77777777" w:rsidR="00762C81" w:rsidRPr="007643CD" w:rsidRDefault="00762C81" w:rsidP="00205470">
      <w:pPr>
        <w:spacing w:line="360" w:lineRule="auto"/>
        <w:ind w:firstLine="0"/>
        <w:jc w:val="both"/>
      </w:pPr>
      <w:r w:rsidRPr="007643CD">
        <w:t>By supporting sustainable livelihoods development, the CLCSL Model helps reduce poverty and promotes economic development among local communities. This reduces the pressure on natural resources and promotes conservation efforts. The model also promotes co-management and collaborative governance by bringing together local communities, government agencies, and other stakeholders to manage natural resources. This collaborative approach ensures that conservation efforts are effective and sustainable.</w:t>
      </w:r>
    </w:p>
    <w:p w14:paraId="0A14CD17" w14:textId="77777777" w:rsidR="00762C81" w:rsidRPr="007643CD" w:rsidRDefault="00762C81" w:rsidP="00205470">
      <w:pPr>
        <w:spacing w:line="360" w:lineRule="auto"/>
        <w:ind w:firstLine="0"/>
        <w:jc w:val="both"/>
      </w:pPr>
      <w:r w:rsidRPr="007643CD">
        <w:t xml:space="preserve">The CLCSL Model also provides capacity-building and training programs, which help local communities develop the skills and knowledge needed to manage natural </w:t>
      </w:r>
      <w:r w:rsidRPr="007643CD">
        <w:t>resources sustainably. This empowers community members to take ownership of conservation efforts. Furthermore, the model promotes economic empowerment and benefit sharing by ensuring that local communities benefit financially from conservation efforts. This incentivizes community members to support conservation efforts and promotes sustainable livelihoods.</w:t>
      </w:r>
    </w:p>
    <w:p w14:paraId="5B0C9B88" w14:textId="77777777" w:rsidR="00762C81" w:rsidRPr="007643CD" w:rsidRDefault="00762C81" w:rsidP="00205470">
      <w:pPr>
        <w:spacing w:line="360" w:lineRule="auto"/>
        <w:ind w:firstLine="0"/>
        <w:jc w:val="both"/>
      </w:pPr>
      <w:r w:rsidRPr="007643CD">
        <w:t>Finally, the CLCSL Model incorporates monitoring and evaluation mechanisms, which ensure that conservation efforts are effective and sustainable. This helps identify areas for improvement and promotes adaptive management practices. By incorporating these six key components, the CLCSL Model has the potential to promote community-based conservation, co-management, and sustainable livelihoods in the Save Valley Conservancy, while also addressing the needs and concerns of local communities.</w:t>
      </w:r>
    </w:p>
    <w:p w14:paraId="0DB7A8BF" w14:textId="77777777" w:rsidR="005039D0" w:rsidRPr="007643CD" w:rsidRDefault="005039D0" w:rsidP="00205470">
      <w:pPr>
        <w:pStyle w:val="Heading2"/>
        <w:spacing w:line="360" w:lineRule="auto"/>
        <w:jc w:val="both"/>
      </w:pPr>
      <w:r>
        <w:t>Conclusion and Recommendations</w:t>
      </w:r>
    </w:p>
    <w:p w14:paraId="59D14FEC" w14:textId="77777777" w:rsidR="005039D0" w:rsidRPr="007643CD" w:rsidRDefault="005039D0" w:rsidP="00205470">
      <w:pPr>
        <w:spacing w:line="360" w:lineRule="auto"/>
        <w:ind w:firstLine="0"/>
        <w:jc w:val="both"/>
      </w:pPr>
      <w:r w:rsidRPr="007643CD">
        <w:t>The Save Valley Conservancy presents opportunities for sustainable development and conservation through the Community-Led Conservation and Sustainable Livelihoods (CLCSL) Model. The conservancy's diverse flora and fauna, as well as its human population, can be leveraged to promote sustainable livelihoods and conserve natural resources.</w:t>
      </w:r>
    </w:p>
    <w:p w14:paraId="4DF3F4D7" w14:textId="77777777" w:rsidR="005039D0" w:rsidRPr="007643CD" w:rsidRDefault="005039D0" w:rsidP="00205470">
      <w:pPr>
        <w:spacing w:line="360" w:lineRule="auto"/>
        <w:ind w:firstLine="0"/>
        <w:jc w:val="both"/>
      </w:pPr>
      <w:r w:rsidRPr="007643CD">
        <w:lastRenderedPageBreak/>
        <w:t>To achieve sustainable development and conservation in the Save Valley Conservancy through the CLCSL Model, community engagement and participation in conservation and development initiatives is crucial. This can be achieved through capacity building, awareness raising, and empowerment. Additionally, promoting sustainable livelihoods through initiatives such as eco-tourism, sustainable agriculture, and small-scale enterprise development is essential.</w:t>
      </w:r>
    </w:p>
    <w:p w14:paraId="2304A95C" w14:textId="77777777" w:rsidR="005039D0" w:rsidRPr="007643CD" w:rsidRDefault="005039D0" w:rsidP="00205470">
      <w:pPr>
        <w:spacing w:line="360" w:lineRule="auto"/>
        <w:ind w:firstLine="0"/>
        <w:jc w:val="both"/>
      </w:pPr>
      <w:r w:rsidRPr="007643CD">
        <w:t>Effective conservation and natural resource management practices, including habitat restoration, wildlife management, and sustainable land-use planning, must also be implemented. Capacity building and training for local communities, conservation organizations, and government agencies will enhance their skills and knowledge in conservation and sustainable development.</w:t>
      </w:r>
      <w:r w:rsidR="00762C81" w:rsidRPr="007643CD">
        <w:t xml:space="preserve"> </w:t>
      </w:r>
      <w:r w:rsidRPr="007643CD">
        <w:t>Fostering partnerships and collaborations among local communities, conservation organizations, government agencies, and private sector entities will leverage resources, expertise, and funding. Establishing a monitoring and evaluation framework will track progress, identify challenges, and make adjustments to the CLCSL Model as needed.</w:t>
      </w:r>
    </w:p>
    <w:p w14:paraId="04E1EC51" w14:textId="77777777" w:rsidR="00BA2A20" w:rsidRPr="007643CD" w:rsidRDefault="00BA2A20" w:rsidP="00205470">
      <w:pPr>
        <w:spacing w:line="360" w:lineRule="auto"/>
        <w:ind w:firstLine="0"/>
        <w:jc w:val="both"/>
      </w:pPr>
      <w:r w:rsidRPr="007643CD">
        <w:t xml:space="preserve">The CLCSL Model will be implemented through a phased approach, with the first phase focusing on community engagement, </w:t>
      </w:r>
      <w:r w:rsidRPr="007643CD">
        <w:t>capacity building, and corridor planning over 6-12 months. This phase will involve conducting community outreach and engagement activities to raise awareness about the CLCSL Model and its benefits. Capacity building and training will also be provided for local communities on conservation, sustainable livelihoods, and corridor planning. Community-led conservation committees will be established to facilitate community participation and decision-making.</w:t>
      </w:r>
    </w:p>
    <w:p w14:paraId="6A33943F" w14:textId="77777777" w:rsidR="00BA2A20" w:rsidRPr="007643CD" w:rsidRDefault="00BA2A20" w:rsidP="00205470">
      <w:pPr>
        <w:spacing w:line="360" w:lineRule="auto"/>
        <w:ind w:firstLine="0"/>
        <w:jc w:val="both"/>
      </w:pPr>
      <w:r w:rsidRPr="007643CD">
        <w:t>Corridor planning activities will also be initiated during this phase, including ecological and socio-economic assessments to identify corridor boundaries. A corridor design and management plan will be developed, and local communities will be engaged in corridor planning and boundary demarcation. To persuade local communities to accept corridor planning and demarcation, community meetings and workshops will be conducted to discuss corridor benefits and concerns. Incentives will be provided for local communities to participate in corridor planning and management, and a grievance mechanism will be established to address community concerns and complaints.</w:t>
      </w:r>
    </w:p>
    <w:p w14:paraId="57CB3743" w14:textId="77777777" w:rsidR="00BA2A20" w:rsidRPr="007643CD" w:rsidRDefault="00BA2A20" w:rsidP="00205470">
      <w:pPr>
        <w:spacing w:line="360" w:lineRule="auto"/>
        <w:ind w:firstLine="0"/>
        <w:jc w:val="both"/>
      </w:pPr>
      <w:r w:rsidRPr="007643CD">
        <w:t xml:space="preserve">The second phase, which will last 1-2 years, will focus on corridor demarcation, sustainable livelihoods, and conservation </w:t>
      </w:r>
      <w:r w:rsidRPr="007643CD">
        <w:lastRenderedPageBreak/>
        <w:t>initiatives. Corridor boundary demarcation will be finalized in collaboration with local communities and other stakeholders. Sustainable livelihoods initiatives, such as eco-tourism and sustainable agriculture, will be established. Conservation initiatives, such as habitat restoration and wildlife management, will also be implemented. Community engagement and capacity building activities will continue to ensure that local communities are equipped to manage and benefit from the corridor.</w:t>
      </w:r>
    </w:p>
    <w:p w14:paraId="2A13E147" w14:textId="6672811F" w:rsidR="00BA2A20" w:rsidRPr="007643CD" w:rsidRDefault="00BA2A20" w:rsidP="00205470">
      <w:pPr>
        <w:spacing w:line="360" w:lineRule="auto"/>
        <w:ind w:firstLine="0"/>
        <w:jc w:val="both"/>
      </w:pPr>
      <w:r w:rsidRPr="007643CD">
        <w:t>The effectiveness of corridor demarcation, sustainable livelihoods, and conservation initiatives will be monitored and evaluated during this phase. The third phase, which will last 2-5 years, will focus on scaling up and mainstreaming the CLCSL Model. Partnerships will be</w:t>
      </w:r>
      <w:r w:rsidR="002E221C">
        <w:t xml:space="preserve"> </w:t>
      </w:r>
      <w:r w:rsidRPr="007643CD">
        <w:t>established with government agencies, private sector entities, and other stakeholders to scale up successful initiatives. A comprehensive monitoring and evaluation framework will be developed to assess the impact of the CLCSL Model.</w:t>
      </w:r>
    </w:p>
    <w:p w14:paraId="57B635C3" w14:textId="77777777" w:rsidR="001C2E4D" w:rsidRPr="007643CD" w:rsidRDefault="00BA2A20" w:rsidP="00205470">
      <w:pPr>
        <w:spacing w:line="360" w:lineRule="auto"/>
        <w:ind w:firstLine="0"/>
        <w:jc w:val="both"/>
      </w:pPr>
      <w:r w:rsidRPr="007643CD">
        <w:t xml:space="preserve">The CLCSL Model will be mainstreamed into national and local development plans and policies. Local communities and other stakeholders will continue to be engaged in corridor management and decision-making. Emerging challenges and opportunities related to corridor management and </w:t>
      </w:r>
      <w:r w:rsidRPr="007643CD">
        <w:t>sustainable livelihoods will be identified and addressed. By incorporating corridor boundary demarcation and activities to persuade local communities to accept corridor planning and demarcation, this revised phased approach aims to address the concerns of local communities and ensure the successful implementation of the CLCSL Model</w:t>
      </w:r>
      <w:r>
        <w:t>.</w:t>
      </w:r>
    </w:p>
    <w:p w14:paraId="043952EF" w14:textId="77777777" w:rsidR="005039D0" w:rsidRPr="007643CD" w:rsidRDefault="005039D0" w:rsidP="00205470">
      <w:pPr>
        <w:pStyle w:val="Heading2"/>
        <w:spacing w:line="360" w:lineRule="auto"/>
        <w:jc w:val="both"/>
      </w:pPr>
      <w:r w:rsidRPr="007643CD">
        <w:t>Author Contributions Statement</w:t>
      </w:r>
    </w:p>
    <w:p w14:paraId="262F4D2E" w14:textId="77777777" w:rsidR="005039D0" w:rsidRPr="007643CD" w:rsidRDefault="005039D0" w:rsidP="00205470">
      <w:pPr>
        <w:spacing w:line="360" w:lineRule="auto"/>
        <w:ind w:firstLine="0"/>
        <w:jc w:val="both"/>
      </w:pPr>
      <w:r w:rsidRPr="007643CD">
        <w:t>J.S. conceived the study, designed the methodology, collected and analyzed the data, and drafted the manuscript.</w:t>
      </w:r>
    </w:p>
    <w:p w14:paraId="7FB09395" w14:textId="77777777" w:rsidR="005039D0" w:rsidRPr="007643CD" w:rsidRDefault="005039D0" w:rsidP="00205470">
      <w:pPr>
        <w:spacing w:line="360" w:lineRule="auto"/>
        <w:ind w:firstLine="0"/>
        <w:jc w:val="both"/>
      </w:pPr>
      <w:r w:rsidRPr="007643CD">
        <w:t>N.M revised the manuscript critically for important intellectual content.</w:t>
      </w:r>
    </w:p>
    <w:p w14:paraId="341AABF9" w14:textId="77777777" w:rsidR="005039D0" w:rsidRPr="007643CD" w:rsidRDefault="005039D0" w:rsidP="00205470">
      <w:pPr>
        <w:spacing w:line="360" w:lineRule="auto"/>
        <w:ind w:firstLine="0"/>
        <w:jc w:val="both"/>
      </w:pPr>
      <w:r w:rsidRPr="007643CD">
        <w:t>E.D contributed to the interpretation of the data and provided critical revisions to the manuscript.</w:t>
      </w:r>
    </w:p>
    <w:p w14:paraId="7E443835" w14:textId="77777777" w:rsidR="005039D0" w:rsidRPr="007643CD" w:rsidRDefault="005039D0" w:rsidP="00205470">
      <w:pPr>
        <w:spacing w:line="360" w:lineRule="auto"/>
        <w:ind w:firstLine="0"/>
        <w:jc w:val="both"/>
      </w:pPr>
      <w:r w:rsidRPr="007643CD">
        <w:t>All authors gave final approval of the version to be published and agree to be accountable for all aspects of the work</w:t>
      </w:r>
      <w:r>
        <w:t>.</w:t>
      </w:r>
    </w:p>
    <w:p w14:paraId="1A2D57C5" w14:textId="77777777" w:rsidR="005039D0" w:rsidRPr="007643CD" w:rsidRDefault="005039D0" w:rsidP="00205470">
      <w:pPr>
        <w:spacing w:line="360" w:lineRule="auto"/>
        <w:ind w:firstLine="0"/>
        <w:jc w:val="both"/>
      </w:pPr>
      <w:r w:rsidRPr="007643CD">
        <w:t>Note: J.S. is the corresponding author.</w:t>
      </w:r>
    </w:p>
    <w:p w14:paraId="588CE6A0" w14:textId="77777777" w:rsidR="005039D0" w:rsidRPr="007643CD" w:rsidRDefault="005039D0" w:rsidP="00205470">
      <w:pPr>
        <w:pStyle w:val="Heading2"/>
        <w:spacing w:line="360" w:lineRule="auto"/>
        <w:jc w:val="both"/>
      </w:pPr>
      <w:r>
        <w:t>Conflicts of Interest</w:t>
      </w:r>
    </w:p>
    <w:p w14:paraId="30785B99" w14:textId="77777777" w:rsidR="005039D0" w:rsidRPr="007643CD" w:rsidRDefault="005039D0" w:rsidP="00205470">
      <w:pPr>
        <w:spacing w:line="360" w:lineRule="auto"/>
        <w:ind w:firstLine="0"/>
        <w:jc w:val="both"/>
      </w:pPr>
      <w:r w:rsidRPr="007643CD">
        <w:t>The authors declare no competing interests in the conduct of this research.</w:t>
      </w:r>
    </w:p>
    <w:p w14:paraId="145EBD66" w14:textId="77777777" w:rsidR="005039D0" w:rsidRPr="007643CD" w:rsidRDefault="005039D0" w:rsidP="00205470">
      <w:pPr>
        <w:pStyle w:val="Heading2"/>
        <w:spacing w:line="360" w:lineRule="auto"/>
        <w:jc w:val="both"/>
      </w:pPr>
      <w:r>
        <w:t>Funding Statement</w:t>
      </w:r>
    </w:p>
    <w:p w14:paraId="1194AA1B" w14:textId="77777777" w:rsidR="005039D0" w:rsidRPr="007643CD" w:rsidRDefault="005039D0" w:rsidP="00205470">
      <w:pPr>
        <w:spacing w:line="360" w:lineRule="auto"/>
        <w:ind w:firstLine="0"/>
        <w:jc w:val="both"/>
      </w:pPr>
      <w:r w:rsidRPr="007643CD">
        <w:t xml:space="preserve">This work was supported by the European Commission [Grant ZW/FED/038-599] received by the Zimbabwe Parks and Wildlife Management Authority through the Sustainable Development &amp; Natural Resource </w:t>
      </w:r>
      <w:r w:rsidRPr="007643CD">
        <w:lastRenderedPageBreak/>
        <w:t>Management for the Save Valley Conservancy and Communities Programme in Zimbabwe</w:t>
      </w:r>
      <w:r>
        <w:t>.</w:t>
      </w:r>
    </w:p>
    <w:p w14:paraId="0F4E7C31" w14:textId="77777777" w:rsidR="005039D0" w:rsidRPr="007643CD" w:rsidRDefault="005039D0" w:rsidP="00205470">
      <w:pPr>
        <w:pStyle w:val="Heading2"/>
        <w:spacing w:line="360" w:lineRule="auto"/>
        <w:jc w:val="both"/>
      </w:pPr>
      <w:r w:rsidRPr="007643CD">
        <w:t>Research Ethics Approval</w:t>
      </w:r>
    </w:p>
    <w:p w14:paraId="50FF27FC" w14:textId="77777777" w:rsidR="005039D0" w:rsidRPr="007643CD" w:rsidRDefault="005039D0" w:rsidP="00205470">
      <w:pPr>
        <w:spacing w:line="360" w:lineRule="auto"/>
        <w:ind w:firstLine="0"/>
        <w:jc w:val="both"/>
      </w:pPr>
      <w:r>
        <w:t>This research was approved by Chinhoi University of Science and Technology and the Ministry of Environment and Wildlife.</w:t>
      </w:r>
    </w:p>
    <w:p w14:paraId="67ADD39F" w14:textId="77777777" w:rsidR="005039D0" w:rsidRPr="007643CD" w:rsidRDefault="005039D0" w:rsidP="00205470">
      <w:pPr>
        <w:pStyle w:val="Heading2"/>
        <w:spacing w:line="360" w:lineRule="auto"/>
        <w:jc w:val="both"/>
      </w:pPr>
      <w:r w:rsidRPr="007643CD">
        <w:t>Data Availability</w:t>
      </w:r>
    </w:p>
    <w:p w14:paraId="129C7C3E" w14:textId="77777777" w:rsidR="005039D0" w:rsidRPr="007643CD" w:rsidRDefault="005039D0" w:rsidP="00205470">
      <w:pPr>
        <w:spacing w:line="360" w:lineRule="auto"/>
        <w:ind w:firstLine="0"/>
        <w:jc w:val="both"/>
      </w:pPr>
      <w:r>
        <w:t>The data that support the findings of this study are available from the corresponding author, J. Shoko, upon reasonable request.</w:t>
      </w:r>
    </w:p>
    <w:p w14:paraId="18570535" w14:textId="77777777" w:rsidR="005039D0" w:rsidRPr="007643CD" w:rsidRDefault="005039D0" w:rsidP="00205470">
      <w:pPr>
        <w:pStyle w:val="Heading2"/>
        <w:spacing w:line="360" w:lineRule="auto"/>
        <w:jc w:val="both"/>
      </w:pPr>
      <w:r w:rsidRPr="007643CD">
        <w:t>Acknowledgements</w:t>
      </w:r>
    </w:p>
    <w:p w14:paraId="5D6F7BF2" w14:textId="77777777" w:rsidR="005039D0" w:rsidRPr="007643CD" w:rsidRDefault="005039D0" w:rsidP="00205470">
      <w:pPr>
        <w:spacing w:line="360" w:lineRule="auto"/>
        <w:ind w:firstLine="0"/>
        <w:jc w:val="both"/>
        <w:sectPr w:rsidR="005039D0" w:rsidRPr="007643CD" w:rsidSect="00D537FA">
          <w:headerReference w:type="default" r:id="rId22"/>
          <w:footerReference w:type="default" r:id="rId23"/>
          <w:pgSz w:w="12240" w:h="15840"/>
          <w:pgMar w:top="1440" w:right="1440" w:bottom="1440" w:left="1440" w:header="288" w:footer="600" w:gutter="0"/>
          <w:cols w:num="2" w:space="576"/>
        </w:sectPr>
      </w:pPr>
      <w:r w:rsidRPr="007643CD">
        <w:t>The authors wish to thank members of the European Commission, Ministry of Environment Climate Change and Wildlife and Chiredzi Rural District Council, for feedback received during the study</w:t>
      </w:r>
      <w:r>
        <w:t>.</w:t>
      </w:r>
    </w:p>
    <w:p w14:paraId="18F2EDE0" w14:textId="77777777" w:rsidR="005039D0" w:rsidRPr="007643CD" w:rsidRDefault="005039D0" w:rsidP="00205470">
      <w:pPr>
        <w:pStyle w:val="Heading1"/>
        <w:spacing w:before="0" w:line="360" w:lineRule="auto"/>
        <w:jc w:val="both"/>
      </w:pPr>
      <w:r w:rsidRPr="007643CD">
        <w:lastRenderedPageBreak/>
        <w:t>References</w:t>
      </w:r>
    </w:p>
    <w:p w14:paraId="3A9C60A0" w14:textId="77777777" w:rsidR="00E04E36" w:rsidRPr="00205470" w:rsidRDefault="00E04E36" w:rsidP="00205470">
      <w:pPr>
        <w:pStyle w:val="JournalReference"/>
        <w:spacing w:line="360" w:lineRule="auto"/>
        <w:ind w:firstLine="0"/>
        <w:jc w:val="both"/>
        <w:rPr>
          <w:color w:val="0070C0"/>
        </w:rPr>
      </w:pPr>
      <w:r w:rsidRPr="00205470">
        <w:rPr>
          <w:color w:val="0070C0"/>
        </w:rPr>
        <w:t xml:space="preserve">Adams, W. M., Aveling, R., Brockington, D., Dickson, B., Elliott, J., Hutton, J., ... &amp; Wolmer, W. (2004). Biodiversity conservation and the eradication of poverty. </w:t>
      </w:r>
      <w:r w:rsidRPr="00205470">
        <w:rPr>
          <w:i/>
          <w:color w:val="0070C0"/>
        </w:rPr>
        <w:t>Science, 306</w:t>
      </w:r>
      <w:r w:rsidRPr="00205470">
        <w:rPr>
          <w:color w:val="0070C0"/>
        </w:rPr>
        <w:t>(5699), 1146–1149.</w:t>
      </w:r>
    </w:p>
    <w:p w14:paraId="4CF5DFEE" w14:textId="77777777" w:rsidR="00205470" w:rsidRDefault="00205470" w:rsidP="00205470">
      <w:pPr>
        <w:pStyle w:val="JournalReference"/>
        <w:spacing w:line="360" w:lineRule="auto"/>
        <w:ind w:firstLine="0"/>
        <w:jc w:val="both"/>
        <w:rPr>
          <w:color w:val="0070C0"/>
        </w:rPr>
      </w:pPr>
    </w:p>
    <w:p w14:paraId="1C33A116" w14:textId="75CCCD88" w:rsidR="00E04E36" w:rsidRPr="00205470" w:rsidRDefault="00E04E36" w:rsidP="00205470">
      <w:pPr>
        <w:pStyle w:val="JournalReference"/>
        <w:spacing w:line="360" w:lineRule="auto"/>
        <w:ind w:firstLine="0"/>
        <w:jc w:val="both"/>
        <w:rPr>
          <w:color w:val="0070C0"/>
        </w:rPr>
      </w:pPr>
      <w:r w:rsidRPr="00205470">
        <w:rPr>
          <w:color w:val="0070C0"/>
        </w:rPr>
        <w:t xml:space="preserve">Barrett, C. B., Travis, A. J., &amp; Dasgupta, P. (2011). On biodiversity conservation and poverty traps. </w:t>
      </w:r>
      <w:r w:rsidRPr="00205470">
        <w:rPr>
          <w:i/>
          <w:color w:val="0070C0"/>
        </w:rPr>
        <w:t>Proceedings of the National Academy of Sciences, 108</w:t>
      </w:r>
      <w:r w:rsidRPr="00205470">
        <w:rPr>
          <w:color w:val="0070C0"/>
        </w:rPr>
        <w:t>(34), 13930–13935.</w:t>
      </w:r>
    </w:p>
    <w:p w14:paraId="0C73E6A9" w14:textId="77777777" w:rsidR="00205470" w:rsidRDefault="00205470" w:rsidP="00205470">
      <w:pPr>
        <w:pStyle w:val="JournalReference"/>
        <w:spacing w:line="360" w:lineRule="auto"/>
        <w:ind w:firstLine="0"/>
        <w:jc w:val="both"/>
        <w:rPr>
          <w:color w:val="0070C0"/>
        </w:rPr>
      </w:pPr>
    </w:p>
    <w:p w14:paraId="03B77CFF" w14:textId="10AB088E" w:rsidR="00E04E36" w:rsidRPr="00205470" w:rsidRDefault="00E04E36" w:rsidP="00205470">
      <w:pPr>
        <w:pStyle w:val="JournalReference"/>
        <w:spacing w:line="360" w:lineRule="auto"/>
        <w:ind w:firstLine="0"/>
        <w:jc w:val="both"/>
        <w:rPr>
          <w:color w:val="0070C0"/>
        </w:rPr>
      </w:pPr>
      <w:r w:rsidRPr="00205470">
        <w:rPr>
          <w:color w:val="0070C0"/>
        </w:rPr>
        <w:t xml:space="preserve">Berkes, F. (2009). Community-based conservation in a globalized world. </w:t>
      </w:r>
      <w:r w:rsidRPr="00205470">
        <w:rPr>
          <w:i/>
          <w:color w:val="0070C0"/>
        </w:rPr>
        <w:t>Conservation Biology, 23</w:t>
      </w:r>
      <w:r w:rsidRPr="00205470">
        <w:rPr>
          <w:color w:val="0070C0"/>
        </w:rPr>
        <w:t>(4), 864–873.</w:t>
      </w:r>
    </w:p>
    <w:p w14:paraId="10D01CE0" w14:textId="77777777" w:rsidR="00205470" w:rsidRDefault="00205470" w:rsidP="00205470">
      <w:pPr>
        <w:pStyle w:val="JournalReference"/>
        <w:spacing w:line="360" w:lineRule="auto"/>
        <w:ind w:firstLine="0"/>
        <w:jc w:val="both"/>
        <w:rPr>
          <w:color w:val="0070C0"/>
        </w:rPr>
      </w:pPr>
    </w:p>
    <w:p w14:paraId="3142F85D" w14:textId="16AD48D7" w:rsidR="00E04E36" w:rsidRPr="00205470" w:rsidRDefault="00E04E36" w:rsidP="00205470">
      <w:pPr>
        <w:pStyle w:val="JournalReference"/>
        <w:spacing w:line="360" w:lineRule="auto"/>
        <w:ind w:firstLine="0"/>
        <w:jc w:val="both"/>
        <w:rPr>
          <w:color w:val="0070C0"/>
        </w:rPr>
      </w:pPr>
      <w:r w:rsidRPr="00205470">
        <w:rPr>
          <w:color w:val="0070C0"/>
        </w:rPr>
        <w:t xml:space="preserve">Berkes, F. (2009). Community-based conservation in a globalized world. </w:t>
      </w:r>
      <w:r w:rsidRPr="00205470">
        <w:rPr>
          <w:i/>
          <w:color w:val="0070C0"/>
        </w:rPr>
        <w:t>Conservation Biology, 23</w:t>
      </w:r>
      <w:r w:rsidRPr="00205470">
        <w:rPr>
          <w:color w:val="0070C0"/>
        </w:rPr>
        <w:t>(5), 1114–1123.</w:t>
      </w:r>
    </w:p>
    <w:p w14:paraId="2091BC24" w14:textId="77777777" w:rsidR="00205470" w:rsidRDefault="00205470" w:rsidP="00205470">
      <w:pPr>
        <w:pStyle w:val="JournalReference"/>
        <w:spacing w:line="360" w:lineRule="auto"/>
        <w:ind w:firstLine="0"/>
        <w:jc w:val="both"/>
        <w:rPr>
          <w:color w:val="0070C0"/>
        </w:rPr>
      </w:pPr>
    </w:p>
    <w:p w14:paraId="713EC453" w14:textId="34E3C1E2" w:rsidR="00E04E36" w:rsidRPr="00205470" w:rsidRDefault="00E04E36" w:rsidP="00205470">
      <w:pPr>
        <w:pStyle w:val="JournalReference"/>
        <w:spacing w:line="360" w:lineRule="auto"/>
        <w:ind w:firstLine="0"/>
        <w:jc w:val="both"/>
        <w:rPr>
          <w:color w:val="0070C0"/>
        </w:rPr>
      </w:pPr>
      <w:r w:rsidRPr="00205470">
        <w:rPr>
          <w:color w:val="0070C0"/>
        </w:rPr>
        <w:t xml:space="preserve">Biernacki, P., &amp; Waldorf, D. (1981). Snowball sampling: Problems and techniques of chain referral sampling. </w:t>
      </w:r>
      <w:r w:rsidRPr="00205470">
        <w:rPr>
          <w:i/>
          <w:color w:val="0070C0"/>
        </w:rPr>
        <w:t>Sociological Methods &amp; Research, 10</w:t>
      </w:r>
      <w:r w:rsidRPr="00205470">
        <w:rPr>
          <w:color w:val="0070C0"/>
        </w:rPr>
        <w:t>(2), 141–163.</w:t>
      </w:r>
    </w:p>
    <w:p w14:paraId="38F7DAD2" w14:textId="77777777" w:rsidR="00205470" w:rsidRDefault="00205470" w:rsidP="00205470">
      <w:pPr>
        <w:pStyle w:val="JournalReference"/>
        <w:spacing w:line="360" w:lineRule="auto"/>
        <w:ind w:firstLine="0"/>
        <w:jc w:val="both"/>
        <w:rPr>
          <w:color w:val="0070C0"/>
        </w:rPr>
      </w:pPr>
    </w:p>
    <w:p w14:paraId="0FFE9B5E" w14:textId="3B334556" w:rsidR="00E04E36" w:rsidRPr="00205470" w:rsidRDefault="00E04E36" w:rsidP="00205470">
      <w:pPr>
        <w:pStyle w:val="JournalReference"/>
        <w:spacing w:line="360" w:lineRule="auto"/>
        <w:ind w:firstLine="0"/>
        <w:jc w:val="both"/>
        <w:rPr>
          <w:color w:val="0070C0"/>
        </w:rPr>
      </w:pPr>
      <w:r w:rsidRPr="00205470">
        <w:rPr>
          <w:color w:val="0070C0"/>
        </w:rPr>
        <w:t xml:space="preserve">Blakely, E. J. (2012). Myths and realities of community economic development. </w:t>
      </w:r>
      <w:r w:rsidRPr="00205470">
        <w:rPr>
          <w:i/>
          <w:color w:val="0070C0"/>
        </w:rPr>
        <w:t>Journal of Planning Education and Research, 32</w:t>
      </w:r>
      <w:r w:rsidRPr="00205470">
        <w:rPr>
          <w:color w:val="0070C0"/>
        </w:rPr>
        <w:t>(2), 139–148.</w:t>
      </w:r>
    </w:p>
    <w:p w14:paraId="2F07E6A6" w14:textId="77777777" w:rsidR="00205470" w:rsidRDefault="00205470" w:rsidP="00205470">
      <w:pPr>
        <w:pStyle w:val="JournalReference"/>
        <w:spacing w:line="360" w:lineRule="auto"/>
        <w:ind w:firstLine="0"/>
        <w:jc w:val="both"/>
        <w:rPr>
          <w:color w:val="0070C0"/>
        </w:rPr>
      </w:pPr>
    </w:p>
    <w:p w14:paraId="359B1853" w14:textId="4F093375" w:rsidR="00E04E36" w:rsidRPr="00205470" w:rsidRDefault="00E04E36" w:rsidP="00205470">
      <w:pPr>
        <w:pStyle w:val="JournalReference"/>
        <w:spacing w:line="360" w:lineRule="auto"/>
        <w:ind w:firstLine="0"/>
        <w:jc w:val="both"/>
        <w:rPr>
          <w:color w:val="0070C0"/>
        </w:rPr>
      </w:pPr>
      <w:r w:rsidRPr="00205470">
        <w:rPr>
          <w:color w:val="0070C0"/>
        </w:rPr>
        <w:t xml:space="preserve">Büscher, B. (2014). Nature on the move: The value and circulation of liquid nature and the emergence of fictitious conservation. </w:t>
      </w:r>
      <w:r w:rsidRPr="00205470">
        <w:rPr>
          <w:i/>
          <w:color w:val="0070C0"/>
        </w:rPr>
        <w:t>Environmental Conservation, 41</w:t>
      </w:r>
      <w:r w:rsidRPr="00205470">
        <w:rPr>
          <w:color w:val="0070C0"/>
        </w:rPr>
        <w:t>(1), 1–9.</w:t>
      </w:r>
    </w:p>
    <w:p w14:paraId="5718E8F3" w14:textId="77777777" w:rsidR="00205470" w:rsidRDefault="00205470" w:rsidP="00205470">
      <w:pPr>
        <w:pStyle w:val="JournalReference"/>
        <w:spacing w:line="360" w:lineRule="auto"/>
        <w:ind w:firstLine="0"/>
        <w:jc w:val="both"/>
        <w:rPr>
          <w:color w:val="0070C0"/>
        </w:rPr>
      </w:pPr>
    </w:p>
    <w:p w14:paraId="1A010451" w14:textId="4E4563F7" w:rsidR="00E04E36" w:rsidRPr="00205470" w:rsidRDefault="00E04E36" w:rsidP="00205470">
      <w:pPr>
        <w:pStyle w:val="JournalReference"/>
        <w:spacing w:line="360" w:lineRule="auto"/>
        <w:ind w:firstLine="0"/>
        <w:jc w:val="both"/>
        <w:rPr>
          <w:color w:val="0070C0"/>
        </w:rPr>
      </w:pPr>
      <w:r w:rsidRPr="00205470">
        <w:rPr>
          <w:color w:val="0070C0"/>
        </w:rPr>
        <w:t xml:space="preserve">Büscher, B. (2014). Nature on the move: The value and circulation of liquid nature and the emergence of fictitious conservation. </w:t>
      </w:r>
      <w:r w:rsidRPr="00205470">
        <w:rPr>
          <w:i/>
          <w:color w:val="0070C0"/>
        </w:rPr>
        <w:t>New Proposals: Journal of Marxism and Interdisciplinary Inquiry, 6</w:t>
      </w:r>
      <w:r w:rsidRPr="00205470">
        <w:rPr>
          <w:color w:val="0070C0"/>
        </w:rPr>
        <w:t>(1–2), 20–36.</w:t>
      </w:r>
    </w:p>
    <w:p w14:paraId="6B3C43F0" w14:textId="77777777" w:rsidR="00205470" w:rsidRDefault="00205470" w:rsidP="00205470">
      <w:pPr>
        <w:pStyle w:val="JournalReference"/>
        <w:spacing w:line="360" w:lineRule="auto"/>
        <w:ind w:firstLine="0"/>
        <w:jc w:val="both"/>
        <w:rPr>
          <w:color w:val="0070C0"/>
        </w:rPr>
      </w:pPr>
    </w:p>
    <w:p w14:paraId="340F5AF0" w14:textId="2126DEC1" w:rsidR="00E04E36" w:rsidRPr="00205470" w:rsidRDefault="00E04E36" w:rsidP="00205470">
      <w:pPr>
        <w:pStyle w:val="JournalReference"/>
        <w:spacing w:line="360" w:lineRule="auto"/>
        <w:ind w:firstLine="0"/>
        <w:jc w:val="both"/>
        <w:rPr>
          <w:color w:val="0070C0"/>
        </w:rPr>
      </w:pPr>
      <w:r w:rsidRPr="00205470">
        <w:rPr>
          <w:color w:val="0070C0"/>
        </w:rPr>
        <w:t>Büscher, B. (2014). Nature on the move: The value and valuation.</w:t>
      </w:r>
    </w:p>
    <w:p w14:paraId="4C2075EA" w14:textId="77777777" w:rsidR="00E04E36" w:rsidRPr="00205470" w:rsidRDefault="00E04E36" w:rsidP="00205470">
      <w:pPr>
        <w:pStyle w:val="JournalReference"/>
        <w:spacing w:line="360" w:lineRule="auto"/>
        <w:ind w:firstLine="0"/>
        <w:jc w:val="both"/>
        <w:rPr>
          <w:color w:val="0070C0"/>
        </w:rPr>
      </w:pPr>
      <w:r w:rsidRPr="00205470">
        <w:rPr>
          <w:color w:val="0070C0"/>
        </w:rPr>
        <w:t xml:space="preserve">Child, B. (2004). Community-based natural resource management in Namibia and Botswana: An overview. </w:t>
      </w:r>
      <w:r w:rsidRPr="00205470">
        <w:rPr>
          <w:i/>
          <w:color w:val="0070C0"/>
        </w:rPr>
        <w:t>Journal of Contemporary African Studies, 22</w:t>
      </w:r>
      <w:r w:rsidRPr="00205470">
        <w:rPr>
          <w:color w:val="0070C0"/>
        </w:rPr>
        <w:t>(1), 5–25.</w:t>
      </w:r>
    </w:p>
    <w:p w14:paraId="406632D7" w14:textId="77777777" w:rsidR="002A484C" w:rsidRDefault="002A484C" w:rsidP="002A484C">
      <w:pPr>
        <w:pStyle w:val="JournalReference"/>
        <w:spacing w:line="360" w:lineRule="auto"/>
        <w:ind w:firstLine="0"/>
        <w:jc w:val="both"/>
        <w:rPr>
          <w:color w:val="0070C0"/>
        </w:rPr>
      </w:pPr>
    </w:p>
    <w:p w14:paraId="14586BDA" w14:textId="465B8766" w:rsidR="00E04E36" w:rsidRPr="00205470" w:rsidRDefault="00E04E36" w:rsidP="002A484C">
      <w:pPr>
        <w:pStyle w:val="JournalReference"/>
        <w:spacing w:line="360" w:lineRule="auto"/>
        <w:ind w:firstLine="0"/>
        <w:jc w:val="both"/>
        <w:rPr>
          <w:color w:val="0070C0"/>
        </w:rPr>
      </w:pPr>
      <w:r w:rsidRPr="00205470">
        <w:rPr>
          <w:color w:val="0070C0"/>
        </w:rPr>
        <w:lastRenderedPageBreak/>
        <w:t xml:space="preserve">Cresswell, J. W. (2014). </w:t>
      </w:r>
      <w:r w:rsidRPr="00205470">
        <w:rPr>
          <w:i/>
          <w:color w:val="0070C0"/>
        </w:rPr>
        <w:t>Research design: Qualitative, quantitative, and mixed methods approach</w:t>
      </w:r>
      <w:r w:rsidRPr="00205470">
        <w:rPr>
          <w:color w:val="0070C0"/>
        </w:rPr>
        <w:t>. Sage Publications.</w:t>
      </w:r>
    </w:p>
    <w:p w14:paraId="106CB750" w14:textId="77777777" w:rsidR="002A484C" w:rsidRDefault="002A484C" w:rsidP="002A484C">
      <w:pPr>
        <w:pStyle w:val="JournalReference"/>
        <w:spacing w:line="360" w:lineRule="auto"/>
        <w:ind w:firstLine="0"/>
        <w:jc w:val="both"/>
        <w:rPr>
          <w:color w:val="0070C0"/>
        </w:rPr>
      </w:pPr>
    </w:p>
    <w:p w14:paraId="1F2E3582" w14:textId="2F41F54F" w:rsidR="00E04E36" w:rsidRPr="00205470" w:rsidRDefault="00E04E36" w:rsidP="002A484C">
      <w:pPr>
        <w:pStyle w:val="JournalReference"/>
        <w:spacing w:line="360" w:lineRule="auto"/>
        <w:ind w:firstLine="0"/>
        <w:jc w:val="both"/>
        <w:rPr>
          <w:color w:val="0070C0"/>
        </w:rPr>
      </w:pPr>
      <w:r w:rsidRPr="00205470">
        <w:rPr>
          <w:color w:val="0070C0"/>
        </w:rPr>
        <w:t xml:space="preserve">Helmsing, A. H. J. (2003). Local economic development: A critical review of the literature. </w:t>
      </w:r>
      <w:r w:rsidRPr="00205470">
        <w:rPr>
          <w:i/>
          <w:color w:val="0070C0"/>
        </w:rPr>
        <w:t>Journal of Economic Development, 28</w:t>
      </w:r>
      <w:r w:rsidRPr="00205470">
        <w:rPr>
          <w:color w:val="0070C0"/>
        </w:rPr>
        <w:t>(2), 1–24.</w:t>
      </w:r>
    </w:p>
    <w:p w14:paraId="01DDCFBB" w14:textId="77777777" w:rsidR="002A484C" w:rsidRDefault="002A484C" w:rsidP="002A484C">
      <w:pPr>
        <w:pStyle w:val="JournalReference"/>
        <w:spacing w:line="360" w:lineRule="auto"/>
        <w:ind w:firstLine="0"/>
        <w:jc w:val="both"/>
        <w:rPr>
          <w:color w:val="0070C0"/>
        </w:rPr>
      </w:pPr>
    </w:p>
    <w:p w14:paraId="4AC76F41" w14:textId="201FDFEA" w:rsidR="00E04E36" w:rsidRPr="00205470" w:rsidRDefault="00E04E36" w:rsidP="002A484C">
      <w:pPr>
        <w:pStyle w:val="JournalReference"/>
        <w:spacing w:line="360" w:lineRule="auto"/>
        <w:ind w:firstLine="0"/>
        <w:jc w:val="both"/>
        <w:rPr>
          <w:color w:val="0070C0"/>
        </w:rPr>
      </w:pPr>
      <w:r w:rsidRPr="00205470">
        <w:rPr>
          <w:color w:val="0070C0"/>
        </w:rPr>
        <w:t xml:space="preserve">Helmsing, A. H. J. (2003). </w:t>
      </w:r>
      <w:r w:rsidRPr="00205470">
        <w:rPr>
          <w:i/>
          <w:color w:val="0070C0"/>
        </w:rPr>
        <w:t>Local economic development: A primer</w:t>
      </w:r>
      <w:r w:rsidRPr="00205470">
        <w:rPr>
          <w:color w:val="0070C0"/>
        </w:rPr>
        <w:t>. International Institute of Social Studies, Erasmus University Rotterdam.</w:t>
      </w:r>
    </w:p>
    <w:p w14:paraId="18B3211C" w14:textId="77777777" w:rsidR="002A484C" w:rsidRDefault="002A484C" w:rsidP="002A484C">
      <w:pPr>
        <w:pStyle w:val="JournalReference"/>
        <w:spacing w:line="360" w:lineRule="auto"/>
        <w:ind w:firstLine="0"/>
        <w:jc w:val="both"/>
        <w:rPr>
          <w:color w:val="0070C0"/>
        </w:rPr>
      </w:pPr>
    </w:p>
    <w:p w14:paraId="6003DED6" w14:textId="16716EC4" w:rsidR="00E04E36" w:rsidRPr="00205470" w:rsidRDefault="00E04E36" w:rsidP="002A484C">
      <w:pPr>
        <w:pStyle w:val="JournalReference"/>
        <w:spacing w:line="360" w:lineRule="auto"/>
        <w:ind w:firstLine="0"/>
        <w:jc w:val="both"/>
        <w:rPr>
          <w:color w:val="0070C0"/>
        </w:rPr>
      </w:pPr>
      <w:r w:rsidRPr="00205470">
        <w:rPr>
          <w:color w:val="0070C0"/>
        </w:rPr>
        <w:t xml:space="preserve">Hemingway, J. (2005). Sustainable tourism and poverty reduction. </w:t>
      </w:r>
      <w:r w:rsidRPr="00205470">
        <w:rPr>
          <w:i/>
          <w:color w:val="0070C0"/>
        </w:rPr>
        <w:t>Journal of Sustainable Tourism, 13</w:t>
      </w:r>
      <w:r w:rsidRPr="00205470">
        <w:rPr>
          <w:color w:val="0070C0"/>
        </w:rPr>
        <w:t>(5), 448–462.</w:t>
      </w:r>
    </w:p>
    <w:p w14:paraId="4DB1C2BB" w14:textId="77777777" w:rsidR="002A484C" w:rsidRDefault="002A484C" w:rsidP="002A484C">
      <w:pPr>
        <w:pStyle w:val="JournalReference"/>
        <w:spacing w:line="360" w:lineRule="auto"/>
        <w:ind w:firstLine="0"/>
        <w:jc w:val="both"/>
        <w:rPr>
          <w:color w:val="0070C0"/>
        </w:rPr>
      </w:pPr>
    </w:p>
    <w:p w14:paraId="0F88A9DC" w14:textId="3E8D4C37" w:rsidR="00E04E36" w:rsidRPr="00205470" w:rsidRDefault="00E04E36" w:rsidP="002A484C">
      <w:pPr>
        <w:pStyle w:val="JournalReference"/>
        <w:spacing w:line="360" w:lineRule="auto"/>
        <w:ind w:firstLine="0"/>
        <w:jc w:val="both"/>
        <w:rPr>
          <w:color w:val="0070C0"/>
        </w:rPr>
      </w:pPr>
      <w:r w:rsidRPr="00205470">
        <w:rPr>
          <w:color w:val="0070C0"/>
        </w:rPr>
        <w:t xml:space="preserve">Hutton, J., Adams, W. M., &amp; Murombedzi, J. C. (2005). Back to the barriers? Changing narratives in biodiversity conservation. </w:t>
      </w:r>
      <w:r w:rsidRPr="00205470">
        <w:rPr>
          <w:i/>
          <w:color w:val="0070C0"/>
        </w:rPr>
        <w:t>Forum for Development Studies, 32</w:t>
      </w:r>
      <w:r w:rsidRPr="00205470">
        <w:rPr>
          <w:color w:val="0070C0"/>
        </w:rPr>
        <w:t>(2), 341–370.</w:t>
      </w:r>
    </w:p>
    <w:p w14:paraId="101210A0" w14:textId="77777777" w:rsidR="002A484C" w:rsidRDefault="002A484C" w:rsidP="002A484C">
      <w:pPr>
        <w:pStyle w:val="JournalReference"/>
        <w:spacing w:line="360" w:lineRule="auto"/>
        <w:ind w:firstLine="0"/>
        <w:jc w:val="both"/>
        <w:rPr>
          <w:color w:val="0070C0"/>
        </w:rPr>
      </w:pPr>
    </w:p>
    <w:p w14:paraId="08E928E7" w14:textId="43D651EF" w:rsidR="00E04E36" w:rsidRPr="00205470" w:rsidRDefault="00E04E36" w:rsidP="002A484C">
      <w:pPr>
        <w:pStyle w:val="JournalReference"/>
        <w:spacing w:line="360" w:lineRule="auto"/>
        <w:ind w:firstLine="0"/>
        <w:jc w:val="both"/>
        <w:rPr>
          <w:color w:val="0070C0"/>
        </w:rPr>
      </w:pPr>
      <w:r w:rsidRPr="00205470">
        <w:rPr>
          <w:color w:val="0070C0"/>
        </w:rPr>
        <w:t xml:space="preserve">Hutton, J., Adams, W. M., &amp; Murombedzi, J. C. (2005). Back to the barriers? Thinking like a barrier again. </w:t>
      </w:r>
      <w:r w:rsidRPr="00205470">
        <w:rPr>
          <w:i/>
          <w:color w:val="0070C0"/>
        </w:rPr>
        <w:t>Oryx, 39</w:t>
      </w:r>
      <w:r w:rsidRPr="00205470">
        <w:rPr>
          <w:color w:val="0070C0"/>
        </w:rPr>
        <w:t>(3), 322–323.</w:t>
      </w:r>
    </w:p>
    <w:p w14:paraId="5DA8DD88" w14:textId="77777777" w:rsidR="002A484C" w:rsidRDefault="002A484C" w:rsidP="002A484C">
      <w:pPr>
        <w:pStyle w:val="JournalReference"/>
        <w:spacing w:line="360" w:lineRule="auto"/>
        <w:ind w:firstLine="0"/>
        <w:jc w:val="both"/>
        <w:rPr>
          <w:color w:val="0070C0"/>
        </w:rPr>
      </w:pPr>
    </w:p>
    <w:p w14:paraId="73D2E06F" w14:textId="520D2748" w:rsidR="00E04E36" w:rsidRPr="00205470" w:rsidRDefault="00E04E36" w:rsidP="002A484C">
      <w:pPr>
        <w:pStyle w:val="JournalReference"/>
        <w:spacing w:line="360" w:lineRule="auto"/>
        <w:ind w:firstLine="0"/>
        <w:jc w:val="both"/>
        <w:rPr>
          <w:color w:val="0070C0"/>
        </w:rPr>
      </w:pPr>
      <w:r w:rsidRPr="00205470">
        <w:rPr>
          <w:color w:val="0070C0"/>
        </w:rPr>
        <w:t xml:space="preserve">Jones, B., &amp; Weaver, C. (2015). CBNRM: A review of the literature. </w:t>
      </w:r>
      <w:r w:rsidRPr="00205470">
        <w:rPr>
          <w:i/>
          <w:color w:val="0070C0"/>
        </w:rPr>
        <w:t>Journal of Sustainable Tourism</w:t>
      </w:r>
      <w:r w:rsidRPr="00205470">
        <w:rPr>
          <w:color w:val="0070C0"/>
        </w:rPr>
        <w:t>,</w:t>
      </w:r>
    </w:p>
    <w:p w14:paraId="1F2AEE51" w14:textId="77777777" w:rsidR="002A484C" w:rsidRDefault="002A484C" w:rsidP="002A484C">
      <w:pPr>
        <w:pStyle w:val="JournalReference"/>
        <w:spacing w:line="360" w:lineRule="auto"/>
        <w:ind w:firstLine="0"/>
        <w:jc w:val="both"/>
        <w:rPr>
          <w:color w:val="0070C0"/>
        </w:rPr>
      </w:pPr>
    </w:p>
    <w:p w14:paraId="7BF8FD34" w14:textId="5FA384CF" w:rsidR="00E04E36" w:rsidRPr="00205470" w:rsidRDefault="00E04E36" w:rsidP="002A484C">
      <w:pPr>
        <w:pStyle w:val="JournalReference"/>
        <w:spacing w:line="360" w:lineRule="auto"/>
        <w:ind w:firstLine="0"/>
        <w:jc w:val="both"/>
        <w:rPr>
          <w:color w:val="0070C0"/>
        </w:rPr>
      </w:pPr>
      <w:r w:rsidRPr="00205470">
        <w:rPr>
          <w:color w:val="0070C0"/>
        </w:rPr>
        <w:t xml:space="preserve">Jones, B., &amp; Weaver, C. (2015). CBNRM: A review of the literature. </w:t>
      </w:r>
      <w:r w:rsidRPr="00205470">
        <w:rPr>
          <w:i/>
          <w:color w:val="0070C0"/>
        </w:rPr>
        <w:t>Journal of Sustainable Tourism, 23</w:t>
      </w:r>
      <w:r w:rsidRPr="00205470">
        <w:rPr>
          <w:color w:val="0070C0"/>
        </w:rPr>
        <w:t>(12), 1725–1743.</w:t>
      </w:r>
    </w:p>
    <w:p w14:paraId="01D32A58" w14:textId="77777777" w:rsidR="002A484C" w:rsidRDefault="002A484C" w:rsidP="002A484C">
      <w:pPr>
        <w:pStyle w:val="JournalReference"/>
        <w:spacing w:line="360" w:lineRule="auto"/>
        <w:ind w:firstLine="0"/>
        <w:jc w:val="both"/>
        <w:rPr>
          <w:color w:val="0070C0"/>
        </w:rPr>
      </w:pPr>
    </w:p>
    <w:p w14:paraId="1A16AFE6" w14:textId="7A96AF62" w:rsidR="00E04E36" w:rsidRPr="00205470" w:rsidRDefault="00E04E36" w:rsidP="002A484C">
      <w:pPr>
        <w:pStyle w:val="JournalReference"/>
        <w:spacing w:line="360" w:lineRule="auto"/>
        <w:ind w:firstLine="0"/>
        <w:jc w:val="both"/>
        <w:rPr>
          <w:color w:val="0070C0"/>
        </w:rPr>
      </w:pPr>
      <w:r w:rsidRPr="00205470">
        <w:rPr>
          <w:color w:val="0070C0"/>
        </w:rPr>
        <w:t xml:space="preserve">Jones, B. T. B., &amp; Weaver, L. C. (2015). Community-based natural resource management in Namibia: A review of the conservancy program. </w:t>
      </w:r>
      <w:r w:rsidRPr="00205470">
        <w:rPr>
          <w:i/>
          <w:color w:val="0070C0"/>
        </w:rPr>
        <w:t>Journal of Sustainable Tourism, 23</w:t>
      </w:r>
      <w:r w:rsidRPr="00205470">
        <w:rPr>
          <w:color w:val="0070C0"/>
        </w:rPr>
        <w:t>(1), 1–18.</w:t>
      </w:r>
    </w:p>
    <w:p w14:paraId="5A54BE96" w14:textId="77777777" w:rsidR="002A484C" w:rsidRDefault="002A484C" w:rsidP="002A484C">
      <w:pPr>
        <w:pStyle w:val="JournalReference"/>
        <w:spacing w:line="360" w:lineRule="auto"/>
        <w:ind w:firstLine="0"/>
        <w:jc w:val="both"/>
        <w:rPr>
          <w:color w:val="0070C0"/>
        </w:rPr>
      </w:pPr>
    </w:p>
    <w:p w14:paraId="7366D5B4" w14:textId="7414BAF2" w:rsidR="00E04E36" w:rsidRPr="00205470" w:rsidRDefault="00E04E36" w:rsidP="002A484C">
      <w:pPr>
        <w:pStyle w:val="JournalReference"/>
        <w:spacing w:line="360" w:lineRule="auto"/>
        <w:ind w:firstLine="0"/>
        <w:jc w:val="both"/>
        <w:rPr>
          <w:color w:val="0070C0"/>
        </w:rPr>
      </w:pPr>
      <w:r w:rsidRPr="00205470">
        <w:rPr>
          <w:color w:val="0070C0"/>
        </w:rPr>
        <w:t xml:space="preserve">Koontz, T. M., &amp; Thomas, C. W. (2006). What do we know and need to know about the environmental outcomes of collaborative management? </w:t>
      </w:r>
      <w:r w:rsidRPr="00205470">
        <w:rPr>
          <w:i/>
          <w:color w:val="0070C0"/>
        </w:rPr>
        <w:t>Public Administration Review, 66</w:t>
      </w:r>
      <w:r w:rsidRPr="00205470">
        <w:rPr>
          <w:color w:val="0070C0"/>
        </w:rPr>
        <w:t>(6), 1119–1131.</w:t>
      </w:r>
    </w:p>
    <w:p w14:paraId="4B2161B6" w14:textId="77777777" w:rsidR="00E04E36" w:rsidRPr="00205470" w:rsidRDefault="00E04E36" w:rsidP="002A484C">
      <w:pPr>
        <w:pStyle w:val="JournalReference"/>
        <w:spacing w:line="360" w:lineRule="auto"/>
        <w:ind w:firstLine="0"/>
        <w:jc w:val="both"/>
        <w:rPr>
          <w:color w:val="0070C0"/>
        </w:rPr>
      </w:pPr>
      <w:r w:rsidRPr="00205470">
        <w:rPr>
          <w:color w:val="0070C0"/>
        </w:rPr>
        <w:lastRenderedPageBreak/>
        <w:t xml:space="preserve">Lindsey, P. A., Balme, G. A., &amp; Becker, M. S. (2011). The trophy hunting of African lions: Scale, current management practices and factors undermining sustainability. </w:t>
      </w:r>
      <w:r w:rsidRPr="00205470">
        <w:rPr>
          <w:i/>
          <w:color w:val="0070C0"/>
        </w:rPr>
        <w:t>PLoS ONE, 6</w:t>
      </w:r>
      <w:r w:rsidRPr="00205470">
        <w:rPr>
          <w:color w:val="0070C0"/>
        </w:rPr>
        <w:t>(9), e23804.</w:t>
      </w:r>
    </w:p>
    <w:p w14:paraId="766F3C14" w14:textId="77777777" w:rsidR="002A484C" w:rsidRDefault="002A484C" w:rsidP="002A484C">
      <w:pPr>
        <w:pStyle w:val="JournalReference"/>
        <w:spacing w:line="360" w:lineRule="auto"/>
        <w:ind w:firstLine="0"/>
        <w:jc w:val="both"/>
        <w:rPr>
          <w:color w:val="0070C0"/>
        </w:rPr>
      </w:pPr>
    </w:p>
    <w:p w14:paraId="5AAE5EC1" w14:textId="375C993B" w:rsidR="00E04E36" w:rsidRPr="00205470" w:rsidRDefault="00E04E36" w:rsidP="002A484C">
      <w:pPr>
        <w:pStyle w:val="JournalReference"/>
        <w:spacing w:line="360" w:lineRule="auto"/>
        <w:ind w:firstLine="0"/>
        <w:jc w:val="both"/>
        <w:rPr>
          <w:color w:val="0070C0"/>
        </w:rPr>
      </w:pPr>
      <w:r w:rsidRPr="00205470">
        <w:rPr>
          <w:color w:val="0070C0"/>
        </w:rPr>
        <w:t xml:space="preserve">Nelson, P. (1995). Community economic development: A review of the literature. </w:t>
      </w:r>
      <w:r w:rsidRPr="00205470">
        <w:rPr>
          <w:i/>
          <w:color w:val="0070C0"/>
        </w:rPr>
        <w:t>Journal of Community Development, 26</w:t>
      </w:r>
      <w:r w:rsidRPr="00205470">
        <w:rPr>
          <w:color w:val="0070C0"/>
        </w:rPr>
        <w:t>(2), 137–154.</w:t>
      </w:r>
    </w:p>
    <w:p w14:paraId="1A635ED1" w14:textId="77777777" w:rsidR="002A484C" w:rsidRDefault="002A484C" w:rsidP="002A484C">
      <w:pPr>
        <w:pStyle w:val="JournalReference"/>
        <w:spacing w:line="360" w:lineRule="auto"/>
        <w:ind w:firstLine="0"/>
        <w:jc w:val="both"/>
        <w:rPr>
          <w:color w:val="0070C0"/>
        </w:rPr>
      </w:pPr>
    </w:p>
    <w:p w14:paraId="6E75F192" w14:textId="53D480F0" w:rsidR="00E04E36" w:rsidRPr="00205470" w:rsidRDefault="00E04E36" w:rsidP="002A484C">
      <w:pPr>
        <w:pStyle w:val="JournalReference"/>
        <w:spacing w:line="360" w:lineRule="auto"/>
        <w:ind w:firstLine="0"/>
        <w:jc w:val="both"/>
        <w:rPr>
          <w:color w:val="0070C0"/>
        </w:rPr>
      </w:pPr>
      <w:r w:rsidRPr="00205470">
        <w:rPr>
          <w:color w:val="0070C0"/>
        </w:rPr>
        <w:t xml:space="preserve">Patton, M. Q. (2002). </w:t>
      </w:r>
      <w:r w:rsidRPr="00205470">
        <w:rPr>
          <w:i/>
          <w:color w:val="0070C0"/>
        </w:rPr>
        <w:t>Qualitative research and evaluation methods</w:t>
      </w:r>
      <w:r w:rsidRPr="00205470">
        <w:rPr>
          <w:color w:val="0070C0"/>
        </w:rPr>
        <w:t>. Sage Publications.</w:t>
      </w:r>
    </w:p>
    <w:p w14:paraId="18350E8E" w14:textId="77777777" w:rsidR="002A484C" w:rsidRDefault="002A484C" w:rsidP="002A484C">
      <w:pPr>
        <w:pStyle w:val="JournalReference"/>
        <w:spacing w:line="360" w:lineRule="auto"/>
        <w:ind w:firstLine="0"/>
        <w:jc w:val="both"/>
        <w:rPr>
          <w:color w:val="0070C0"/>
        </w:rPr>
      </w:pPr>
    </w:p>
    <w:p w14:paraId="3DC1579D" w14:textId="0C579D2A" w:rsidR="00E04E36" w:rsidRPr="00205470" w:rsidRDefault="00E04E36" w:rsidP="002A484C">
      <w:pPr>
        <w:pStyle w:val="JournalReference"/>
        <w:spacing w:line="360" w:lineRule="auto"/>
        <w:ind w:firstLine="0"/>
        <w:jc w:val="both"/>
        <w:rPr>
          <w:color w:val="0070C0"/>
        </w:rPr>
      </w:pPr>
      <w:r w:rsidRPr="00205470">
        <w:rPr>
          <w:color w:val="0070C0"/>
        </w:rPr>
        <w:t xml:space="preserve">Republic of South Africa. (2001). </w:t>
      </w:r>
      <w:r w:rsidRPr="00205470">
        <w:rPr>
          <w:i/>
          <w:color w:val="0070C0"/>
        </w:rPr>
        <w:t>Local Economic Development (LED) policy</w:t>
      </w:r>
      <w:r w:rsidRPr="00205470">
        <w:rPr>
          <w:color w:val="0070C0"/>
        </w:rPr>
        <w:t>. Department of Provincial and Local Government.</w:t>
      </w:r>
    </w:p>
    <w:p w14:paraId="7243F689" w14:textId="77777777" w:rsidR="002A484C" w:rsidRDefault="002A484C" w:rsidP="002A484C">
      <w:pPr>
        <w:pStyle w:val="JournalReference"/>
        <w:spacing w:line="360" w:lineRule="auto"/>
        <w:ind w:firstLine="0"/>
        <w:jc w:val="both"/>
        <w:rPr>
          <w:color w:val="0070C0"/>
        </w:rPr>
      </w:pPr>
    </w:p>
    <w:p w14:paraId="3D4AF954" w14:textId="0A68D1C4" w:rsidR="00E04E36" w:rsidRPr="00205470" w:rsidRDefault="00E04E36" w:rsidP="002A484C">
      <w:pPr>
        <w:pStyle w:val="JournalReference"/>
        <w:spacing w:line="360" w:lineRule="auto"/>
        <w:ind w:firstLine="0"/>
        <w:jc w:val="both"/>
        <w:rPr>
          <w:color w:val="0070C0"/>
        </w:rPr>
      </w:pPr>
      <w:r w:rsidRPr="00205470">
        <w:rPr>
          <w:color w:val="0070C0"/>
        </w:rPr>
        <w:t xml:space="preserve">Rodriguez-Pose, A., &amp; Tijmstra, S. A. R. (2007). Local economic development in sub-Saharan Africa. </w:t>
      </w:r>
      <w:r w:rsidRPr="00205470">
        <w:rPr>
          <w:i/>
          <w:color w:val="0070C0"/>
        </w:rPr>
        <w:t>Environment and Planning C: Government and Policy, 25</w:t>
      </w:r>
      <w:r w:rsidRPr="00205470">
        <w:rPr>
          <w:color w:val="0070C0"/>
        </w:rPr>
        <w:t>(4), 516–536.</w:t>
      </w:r>
    </w:p>
    <w:p w14:paraId="0B9B8E83" w14:textId="77777777" w:rsidR="002A484C" w:rsidRDefault="002A484C" w:rsidP="002A484C">
      <w:pPr>
        <w:pStyle w:val="JournalReference"/>
        <w:spacing w:line="360" w:lineRule="auto"/>
        <w:ind w:firstLine="0"/>
        <w:jc w:val="both"/>
        <w:rPr>
          <w:color w:val="0070C0"/>
        </w:rPr>
      </w:pPr>
    </w:p>
    <w:p w14:paraId="004BD673" w14:textId="39D06ABC" w:rsidR="00E04E36" w:rsidRPr="00205470" w:rsidRDefault="00E04E36" w:rsidP="002A484C">
      <w:pPr>
        <w:pStyle w:val="JournalReference"/>
        <w:spacing w:line="360" w:lineRule="auto"/>
        <w:ind w:firstLine="0"/>
        <w:jc w:val="both"/>
        <w:rPr>
          <w:color w:val="0070C0"/>
        </w:rPr>
      </w:pPr>
      <w:r w:rsidRPr="00205470">
        <w:rPr>
          <w:color w:val="0070C0"/>
        </w:rPr>
        <w:t xml:space="preserve">Rwanda Development Bank. (2015). </w:t>
      </w:r>
      <w:r w:rsidRPr="00205470">
        <w:rPr>
          <w:i/>
          <w:color w:val="0070C0"/>
        </w:rPr>
        <w:t>Local Economic Development (LED) program</w:t>
      </w:r>
      <w:r w:rsidRPr="00205470">
        <w:rPr>
          <w:color w:val="0070C0"/>
        </w:rPr>
        <w:t>. Rwanda Development Bank.</w:t>
      </w:r>
    </w:p>
    <w:p w14:paraId="7B54CD11" w14:textId="77777777" w:rsidR="002A484C" w:rsidRDefault="002A484C" w:rsidP="002A484C">
      <w:pPr>
        <w:pStyle w:val="JournalReference"/>
        <w:spacing w:line="360" w:lineRule="auto"/>
        <w:ind w:firstLine="0"/>
        <w:jc w:val="both"/>
        <w:rPr>
          <w:color w:val="0070C0"/>
        </w:rPr>
      </w:pPr>
    </w:p>
    <w:p w14:paraId="786E9F77" w14:textId="3BF32EBD" w:rsidR="00E04E36" w:rsidRPr="00205470" w:rsidRDefault="00E04E36" w:rsidP="002A484C">
      <w:pPr>
        <w:pStyle w:val="JournalReference"/>
        <w:spacing w:line="360" w:lineRule="auto"/>
        <w:ind w:firstLine="0"/>
        <w:jc w:val="both"/>
        <w:rPr>
          <w:color w:val="0070C0"/>
        </w:rPr>
      </w:pPr>
      <w:r w:rsidRPr="00205470">
        <w:rPr>
          <w:color w:val="0070C0"/>
        </w:rPr>
        <w:t xml:space="preserve">Scoones, I. (2009). Livelihoods perspectives and rural development. </w:t>
      </w:r>
      <w:r w:rsidRPr="00205470">
        <w:rPr>
          <w:i/>
          <w:color w:val="0070C0"/>
        </w:rPr>
        <w:t>The Journal of Peasant Studies, 36</w:t>
      </w:r>
      <w:r w:rsidRPr="00205470">
        <w:rPr>
          <w:color w:val="0070C0"/>
        </w:rPr>
        <w:t>(1), 171–196.</w:t>
      </w:r>
    </w:p>
    <w:p w14:paraId="604F5027" w14:textId="77777777" w:rsidR="002A484C" w:rsidRDefault="002A484C" w:rsidP="002A484C">
      <w:pPr>
        <w:pStyle w:val="JournalReference"/>
        <w:spacing w:line="360" w:lineRule="auto"/>
        <w:ind w:firstLine="0"/>
        <w:jc w:val="both"/>
        <w:rPr>
          <w:color w:val="0070C0"/>
        </w:rPr>
      </w:pPr>
    </w:p>
    <w:p w14:paraId="46E88015" w14:textId="2014FD8A" w:rsidR="00E04E36" w:rsidRPr="00205470" w:rsidRDefault="00E04E36" w:rsidP="002A484C">
      <w:pPr>
        <w:pStyle w:val="JournalReference"/>
        <w:spacing w:line="360" w:lineRule="auto"/>
        <w:ind w:firstLine="0"/>
        <w:jc w:val="both"/>
        <w:rPr>
          <w:color w:val="0070C0"/>
        </w:rPr>
      </w:pPr>
      <w:r w:rsidRPr="00205470">
        <w:rPr>
          <w:color w:val="0070C0"/>
        </w:rPr>
        <w:t xml:space="preserve">Westley, F., Tjornbo, O., Schultz, L., Olsson, P., Folke, C., &amp; Bodin, Ö. (2017). A theory of transformative agency in linked social-ecological systems. </w:t>
      </w:r>
      <w:r w:rsidRPr="00205470">
        <w:rPr>
          <w:i/>
          <w:color w:val="0070C0"/>
        </w:rPr>
        <w:t>Ecology and Society, 22</w:t>
      </w:r>
      <w:r w:rsidRPr="00205470">
        <w:rPr>
          <w:color w:val="0070C0"/>
        </w:rPr>
        <w:t>(3), 26.</w:t>
      </w:r>
    </w:p>
    <w:sectPr w:rsidR="00E04E36" w:rsidRPr="00205470" w:rsidSect="00D537FA">
      <w:headerReference w:type="default" r:id="rId24"/>
      <w:footerReference w:type="default" r:id="rId25"/>
      <w:pgSz w:w="12240" w:h="15840"/>
      <w:pgMar w:top="1440" w:right="1440" w:bottom="1440" w:left="1440" w:header="288" w:footer="600" w:gutter="0"/>
      <w:cols w:space="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EB15B" w14:textId="77777777" w:rsidR="00AA1452" w:rsidRDefault="00AA1452" w:rsidP="00117666">
      <w:r>
        <w:separator/>
      </w:r>
    </w:p>
  </w:endnote>
  <w:endnote w:type="continuationSeparator" w:id="0">
    <w:p w14:paraId="791A4627" w14:textId="77777777" w:rsidR="00AA1452" w:rsidRDefault="00AA1452" w:rsidP="00117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3355C" w14:textId="77777777" w:rsidR="00F011E0" w:rsidRDefault="00AA1452">
    <w:pPr>
      <w:pStyle w:val="Footer"/>
      <w:tabs>
        <w:tab w:val="right" w:pos="9360"/>
      </w:tabs>
    </w:pPr>
    <w:r>
      <w:t xml:space="preserve">SAVE VALLEY </w:t>
    </w:r>
    <w:proofErr w:type="gramStart"/>
    <w:r>
      <w:t>CONSERVANCY  |</w:t>
    </w:r>
    <w:proofErr w:type="gramEnd"/>
    <w:r>
      <w:t xml:space="preserve">  LOCAL ENTERPRISE DEVELOPMENT</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32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90CE9" w14:textId="77777777" w:rsidR="00F011E0" w:rsidRDefault="00AA1452">
    <w:pPr>
      <w:pStyle w:val="Footer"/>
      <w:tabs>
        <w:tab w:val="right" w:pos="9360"/>
      </w:tabs>
    </w:pPr>
    <w:r>
      <w:t xml:space="preserve">SAVE VALLEY </w:t>
    </w:r>
    <w:proofErr w:type="gramStart"/>
    <w:r>
      <w:t>CONSERVANCY  |</w:t>
    </w:r>
    <w:proofErr w:type="gramEnd"/>
    <w:r>
      <w:t xml:space="preserve">  LOCAL ENTERPRISE DEVELOPMENT</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32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04FCB" w14:textId="77777777" w:rsidR="00F011E0" w:rsidRDefault="00AA1452">
    <w:pPr>
      <w:pStyle w:val="Footer"/>
      <w:tabs>
        <w:tab w:val="right" w:pos="9360"/>
      </w:tabs>
    </w:pPr>
    <w:r>
      <w:t xml:space="preserve">SAVE VALLEY </w:t>
    </w:r>
    <w:proofErr w:type="gramStart"/>
    <w:r>
      <w:t>CONSERVANCY  |</w:t>
    </w:r>
    <w:proofErr w:type="gramEnd"/>
    <w:r>
      <w:t xml:space="preserve">  LOCAL ENTERPRISE DEVELOPMENT</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32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8191D" w14:textId="77777777" w:rsidR="00F011E0" w:rsidRDefault="00AA1452">
    <w:pPr>
      <w:pStyle w:val="Footer"/>
      <w:tabs>
        <w:tab w:val="right" w:pos="9360"/>
      </w:tabs>
    </w:pPr>
    <w:r>
      <w:t xml:space="preserve">SAVE VALLEY </w:t>
    </w:r>
    <w:proofErr w:type="gramStart"/>
    <w:r>
      <w:t>CONSERVANCY  |</w:t>
    </w:r>
    <w:proofErr w:type="gramEnd"/>
    <w:r>
      <w:t xml:space="preserve">  LOCAL ENTERPRISE DEVELOPMENT</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32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88CEF" w14:textId="77777777" w:rsidR="00F011E0" w:rsidRDefault="00AA1452">
    <w:pPr>
      <w:pStyle w:val="Footer"/>
      <w:tabs>
        <w:tab w:val="right" w:pos="9360"/>
      </w:tabs>
    </w:pPr>
    <w:r>
      <w:t xml:space="preserve">SAVE VALLEY </w:t>
    </w:r>
    <w:proofErr w:type="gramStart"/>
    <w:r>
      <w:t>CONSERVANCY  |</w:t>
    </w:r>
    <w:proofErr w:type="gramEnd"/>
    <w:r>
      <w:t xml:space="preserve">  LOCAL ENTERPRISE DEVELOPMENT</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32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A5BF7" w14:textId="77777777" w:rsidR="00F011E0" w:rsidRDefault="00AA1452">
    <w:pPr>
      <w:pStyle w:val="Footer"/>
      <w:tabs>
        <w:tab w:val="right" w:pos="9360"/>
      </w:tabs>
    </w:pPr>
    <w:r>
      <w:t xml:space="preserve">SAVE VALLEY </w:t>
    </w:r>
    <w:proofErr w:type="gramStart"/>
    <w:r>
      <w:t>CONSERVANCY  |</w:t>
    </w:r>
    <w:proofErr w:type="gramEnd"/>
    <w:r>
      <w:t xml:space="preserve">  LOCAL ENTERPRISE DEVELOPMENT</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740CF" w14:textId="77777777" w:rsidR="00AA1452" w:rsidRDefault="00AA1452" w:rsidP="00117666">
      <w:r>
        <w:separator/>
      </w:r>
    </w:p>
  </w:footnote>
  <w:footnote w:type="continuationSeparator" w:id="0">
    <w:p w14:paraId="1F02235E" w14:textId="77777777" w:rsidR="00AA1452" w:rsidRDefault="00AA1452" w:rsidP="00117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1BF09" w14:textId="323A57C8" w:rsidR="00F011E0" w:rsidRDefault="00AA1452">
    <w:pPr>
      <w:pStyle w:val="Header"/>
      <w:tabs>
        <w:tab w:val="right" w:pos="936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BEC14" w14:textId="77777777" w:rsidR="00F011E0" w:rsidRDefault="00AA1452">
    <w:pPr>
      <w:pStyle w:val="Header"/>
      <w:tabs>
        <w:tab w:val="right" w:pos="9360"/>
      </w:tabs>
    </w:pPr>
    <w:r>
      <w:rPr>
        <w:noProof/>
      </w:rPr>
      <w:drawing>
        <wp:inline distT="0" distB="0" distL="0" distR="0" wp14:anchorId="50A33CBA" wp14:editId="215D7F6B">
          <wp:extent cx="1234440" cy="553251"/>
          <wp:effectExtent l="0" t="0" r="0" b="0"/>
          <wp:docPr id="1583315521" name="Picture 158331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234440" cy="553251"/>
                  </a:xfrm>
                  <a:prstGeom prst="rect">
                    <a:avLst/>
                  </a:prstGeom>
                </pic:spPr>
              </pic:pic>
            </a:graphicData>
          </a:graphic>
        </wp:inline>
      </w:drawing>
    </w:r>
    <w:r>
      <w:tab/>
    </w:r>
    <w:r>
      <w:rPr>
        <w:noProof/>
      </w:rPr>
      <w:drawing>
        <wp:inline distT="0" distB="0" distL="0" distR="0" wp14:anchorId="1AEDE92A" wp14:editId="3416BA10">
          <wp:extent cx="1828800" cy="457200"/>
          <wp:effectExtent l="0" t="0" r="0" b="0"/>
          <wp:docPr id="184542113" name="Picture 18454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botanical.png"/>
                  <pic:cNvPicPr/>
                </pic:nvPicPr>
                <pic:blipFill>
                  <a:blip r:embed="rId2"/>
                  <a:stretch>
                    <a:fillRect/>
                  </a:stretch>
                </pic:blipFill>
                <pic:spPr>
                  <a:xfrm>
                    <a:off x="0" y="0"/>
                    <a:ext cx="1828800" cy="4572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8A435" w14:textId="77777777" w:rsidR="00F011E0" w:rsidRDefault="00AA1452">
    <w:pPr>
      <w:pStyle w:val="Header"/>
      <w:tabs>
        <w:tab w:val="right" w:pos="9360"/>
      </w:tabs>
    </w:pPr>
    <w:r>
      <w:rPr>
        <w:noProof/>
      </w:rPr>
      <w:drawing>
        <wp:inline distT="0" distB="0" distL="0" distR="0" wp14:anchorId="66ECCE6D" wp14:editId="25B82AE7">
          <wp:extent cx="1234440" cy="553251"/>
          <wp:effectExtent l="0" t="0" r="0" b="0"/>
          <wp:docPr id="1522476923" name="Picture 1522476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234440" cy="553251"/>
                  </a:xfrm>
                  <a:prstGeom prst="rect">
                    <a:avLst/>
                  </a:prstGeom>
                </pic:spPr>
              </pic:pic>
            </a:graphicData>
          </a:graphic>
        </wp:inline>
      </w:drawing>
    </w:r>
    <w:r>
      <w:tab/>
    </w:r>
    <w:r>
      <w:rPr>
        <w:noProof/>
      </w:rPr>
      <w:drawing>
        <wp:inline distT="0" distB="0" distL="0" distR="0" wp14:anchorId="2552AAB3" wp14:editId="6F6B5324">
          <wp:extent cx="1828800" cy="457200"/>
          <wp:effectExtent l="0" t="0" r="0" b="0"/>
          <wp:docPr id="1454210613" name="Picture 1454210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botanical.png"/>
                  <pic:cNvPicPr/>
                </pic:nvPicPr>
                <pic:blipFill>
                  <a:blip r:embed="rId2"/>
                  <a:stretch>
                    <a:fillRect/>
                  </a:stretch>
                </pic:blipFill>
                <pic:spPr>
                  <a:xfrm>
                    <a:off x="0" y="0"/>
                    <a:ext cx="1828800" cy="4572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68122" w14:textId="77777777" w:rsidR="00F011E0" w:rsidRDefault="00AA1452">
    <w:pPr>
      <w:pStyle w:val="Header"/>
      <w:tabs>
        <w:tab w:val="right" w:pos="9360"/>
      </w:tabs>
    </w:pPr>
    <w:r>
      <w:rPr>
        <w:noProof/>
      </w:rPr>
      <w:drawing>
        <wp:inline distT="0" distB="0" distL="0" distR="0" wp14:anchorId="03617C2D" wp14:editId="4DE573A2">
          <wp:extent cx="1234440" cy="553251"/>
          <wp:effectExtent l="0" t="0" r="0" b="0"/>
          <wp:docPr id="1320192862" name="Picture 1320192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234440" cy="553251"/>
                  </a:xfrm>
                  <a:prstGeom prst="rect">
                    <a:avLst/>
                  </a:prstGeom>
                </pic:spPr>
              </pic:pic>
            </a:graphicData>
          </a:graphic>
        </wp:inline>
      </w:drawing>
    </w:r>
    <w:r>
      <w:tab/>
    </w:r>
    <w:r>
      <w:rPr>
        <w:noProof/>
      </w:rPr>
      <w:drawing>
        <wp:inline distT="0" distB="0" distL="0" distR="0" wp14:anchorId="7691EAE9" wp14:editId="56EDDD69">
          <wp:extent cx="1828800" cy="457200"/>
          <wp:effectExtent l="0" t="0" r="0" b="0"/>
          <wp:docPr id="1628947726" name="Picture 162894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botanical.png"/>
                  <pic:cNvPicPr/>
                </pic:nvPicPr>
                <pic:blipFill>
                  <a:blip r:embed="rId2"/>
                  <a:stretch>
                    <a:fillRect/>
                  </a:stretch>
                </pic:blipFill>
                <pic:spPr>
                  <a:xfrm>
                    <a:off x="0" y="0"/>
                    <a:ext cx="1828800" cy="457200"/>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6B4D4" w14:textId="77777777" w:rsidR="00F011E0" w:rsidRDefault="00AA1452">
    <w:pPr>
      <w:pStyle w:val="Header"/>
      <w:tabs>
        <w:tab w:val="right" w:pos="9360"/>
      </w:tabs>
    </w:pPr>
    <w:r>
      <w:rPr>
        <w:noProof/>
      </w:rPr>
      <w:drawing>
        <wp:inline distT="0" distB="0" distL="0" distR="0" wp14:anchorId="7E53ED37" wp14:editId="74C062A5">
          <wp:extent cx="1234440" cy="553251"/>
          <wp:effectExtent l="0" t="0" r="0" b="0"/>
          <wp:docPr id="224814970" name="Picture 22481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234440" cy="553251"/>
                  </a:xfrm>
                  <a:prstGeom prst="rect">
                    <a:avLst/>
                  </a:prstGeom>
                </pic:spPr>
              </pic:pic>
            </a:graphicData>
          </a:graphic>
        </wp:inline>
      </w:drawing>
    </w:r>
    <w:r>
      <w:tab/>
    </w:r>
    <w:r>
      <w:rPr>
        <w:noProof/>
      </w:rPr>
      <w:drawing>
        <wp:inline distT="0" distB="0" distL="0" distR="0" wp14:anchorId="139543F6" wp14:editId="605CFD1F">
          <wp:extent cx="1828800" cy="457200"/>
          <wp:effectExtent l="0" t="0" r="0" b="0"/>
          <wp:docPr id="246062964" name="Picture 24606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botanical.png"/>
                  <pic:cNvPicPr/>
                </pic:nvPicPr>
                <pic:blipFill>
                  <a:blip r:embed="rId2"/>
                  <a:stretch>
                    <a:fillRect/>
                  </a:stretch>
                </pic:blipFill>
                <pic:spPr>
                  <a:xfrm>
                    <a:off x="0" y="0"/>
                    <a:ext cx="1828800" cy="457200"/>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CDB6D" w14:textId="77777777" w:rsidR="00F011E0" w:rsidRDefault="00AA1452">
    <w:pPr>
      <w:pStyle w:val="Header"/>
      <w:tabs>
        <w:tab w:val="right" w:pos="9360"/>
      </w:tabs>
    </w:pPr>
    <w:r>
      <w:rPr>
        <w:noProof/>
      </w:rPr>
      <w:drawing>
        <wp:inline distT="0" distB="0" distL="0" distR="0" wp14:anchorId="6A677669" wp14:editId="1E36866B">
          <wp:extent cx="1234440" cy="553251"/>
          <wp:effectExtent l="0" t="0" r="0" b="0"/>
          <wp:docPr id="838203382" name="Picture 83820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234440" cy="553251"/>
                  </a:xfrm>
                  <a:prstGeom prst="rect">
                    <a:avLst/>
                  </a:prstGeom>
                </pic:spPr>
              </pic:pic>
            </a:graphicData>
          </a:graphic>
        </wp:inline>
      </w:drawing>
    </w:r>
    <w:r>
      <w:tab/>
    </w:r>
    <w:r>
      <w:rPr>
        <w:noProof/>
      </w:rPr>
      <w:drawing>
        <wp:inline distT="0" distB="0" distL="0" distR="0" wp14:anchorId="2CCF7C68" wp14:editId="2EE46AD6">
          <wp:extent cx="1828800" cy="457200"/>
          <wp:effectExtent l="0" t="0" r="0" b="0"/>
          <wp:docPr id="1610395457" name="Picture 1610395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botanical.png"/>
                  <pic:cNvPicPr/>
                </pic:nvPicPr>
                <pic:blipFill>
                  <a:blip r:embed="rId2"/>
                  <a:stretch>
                    <a:fillRect/>
                  </a:stretch>
                </pic:blipFill>
                <pic:spPr>
                  <a:xfrm>
                    <a:off x="0" y="0"/>
                    <a:ext cx="182880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8A03CD"/>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02A7CAC"/>
    <w:multiLevelType w:val="multilevel"/>
    <w:tmpl w:val="C6A8CCEA"/>
    <w:numStyleLink w:val="Headings"/>
  </w:abstractNum>
  <w:abstractNum w:abstractNumId="6" w15:restartNumberingAfterBreak="0">
    <w:nsid w:val="36D30736"/>
    <w:multiLevelType w:val="hybridMultilevel"/>
    <w:tmpl w:val="BC1E7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17787E"/>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AE92CDE"/>
    <w:multiLevelType w:val="hybridMultilevel"/>
    <w:tmpl w:val="294E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1539C0"/>
    <w:multiLevelType w:val="hybridMultilevel"/>
    <w:tmpl w:val="675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8E502C"/>
    <w:multiLevelType w:val="hybridMultilevel"/>
    <w:tmpl w:val="C216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16449"/>
    <w:multiLevelType w:val="hybridMultilevel"/>
    <w:tmpl w:val="60E244E0"/>
    <w:lvl w:ilvl="0" w:tplc="BB925A6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8113DE"/>
    <w:multiLevelType w:val="multilevel"/>
    <w:tmpl w:val="ADB20C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290D83"/>
    <w:multiLevelType w:val="hybridMultilevel"/>
    <w:tmpl w:val="D1E4BA92"/>
    <w:lvl w:ilvl="0" w:tplc="E9807BE6">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BC6F29"/>
    <w:multiLevelType w:val="multilevel"/>
    <w:tmpl w:val="C6A8CCEA"/>
    <w:numStyleLink w:val="Headings"/>
  </w:abstractNum>
  <w:abstractNum w:abstractNumId="17" w15:restartNumberingAfterBreak="0">
    <w:nsid w:val="7F983756"/>
    <w:multiLevelType w:val="multilevel"/>
    <w:tmpl w:val="F300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3"/>
  </w:num>
  <w:num w:numId="3">
    <w:abstractNumId w:val="1"/>
  </w:num>
  <w:num w:numId="4">
    <w:abstractNumId w:val="1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num>
  <w:num w:numId="8">
    <w:abstractNumId w:val="6"/>
  </w:num>
  <w:num w:numId="9">
    <w:abstractNumId w:val="9"/>
  </w:num>
  <w:num w:numId="10">
    <w:abstractNumId w:val="7"/>
  </w:num>
  <w:num w:numId="11">
    <w:abstractNumId w:val="2"/>
  </w:num>
  <w:num w:numId="12">
    <w:abstractNumId w:val="17"/>
  </w:num>
  <w:num w:numId="13">
    <w:abstractNumId w:val="12"/>
  </w:num>
  <w:num w:numId="14">
    <w:abstractNumId w:val="4"/>
  </w:num>
  <w:num w:numId="15">
    <w:abstractNumId w:val="11"/>
  </w:num>
  <w:num w:numId="16">
    <w:abstractNumId w:val="14"/>
  </w:num>
  <w:num w:numId="17">
    <w:abstractNumId w:val="3"/>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6"/>
  </w:num>
  <w:num w:numId="21">
    <w:abstractNumId w:val="3"/>
  </w:num>
  <w:num w:numId="22">
    <w:abstractNumId w:val="3"/>
    <w:lvlOverride w:ilvl="0">
      <w:startOverride w:val="1"/>
      <w:lvl w:ilvl="0">
        <w:start w:val="1"/>
        <w:numFmt w:val="decimal"/>
        <w:lvlText w:val="%1"/>
        <w:lvlJc w:val="left"/>
        <w:pPr>
          <w:tabs>
            <w:tab w:val="num" w:pos="567"/>
          </w:tabs>
          <w:ind w:left="567" w:hanging="567"/>
        </w:pPr>
      </w:lvl>
    </w:lvlOverride>
    <w:lvlOverride w:ilvl="1">
      <w:startOverride w:val="1"/>
      <w:lvl w:ilvl="1">
        <w:start w:val="1"/>
        <w:numFmt w:val="decimal"/>
        <w:lvlText w:val="%1.%2"/>
        <w:lvlJc w:val="left"/>
        <w:pPr>
          <w:tabs>
            <w:tab w:val="num" w:pos="567"/>
          </w:tabs>
          <w:ind w:left="567" w:hanging="567"/>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420"/>
    <w:rsid w:val="000001BE"/>
    <w:rsid w:val="00015D7B"/>
    <w:rsid w:val="0002273A"/>
    <w:rsid w:val="00032476"/>
    <w:rsid w:val="00034304"/>
    <w:rsid w:val="00035434"/>
    <w:rsid w:val="00041350"/>
    <w:rsid w:val="00045678"/>
    <w:rsid w:val="000458E4"/>
    <w:rsid w:val="00063D84"/>
    <w:rsid w:val="0006636D"/>
    <w:rsid w:val="00077D53"/>
    <w:rsid w:val="00081394"/>
    <w:rsid w:val="000B34BD"/>
    <w:rsid w:val="000C7E2A"/>
    <w:rsid w:val="000F1DA8"/>
    <w:rsid w:val="000F4CFB"/>
    <w:rsid w:val="00117666"/>
    <w:rsid w:val="001223A7"/>
    <w:rsid w:val="00134256"/>
    <w:rsid w:val="00147395"/>
    <w:rsid w:val="00152161"/>
    <w:rsid w:val="001552C9"/>
    <w:rsid w:val="00155B4C"/>
    <w:rsid w:val="00164563"/>
    <w:rsid w:val="00165336"/>
    <w:rsid w:val="00177D84"/>
    <w:rsid w:val="001964EF"/>
    <w:rsid w:val="001B1A2C"/>
    <w:rsid w:val="001C2E4D"/>
    <w:rsid w:val="001D5C23"/>
    <w:rsid w:val="001E4F08"/>
    <w:rsid w:val="001F4C07"/>
    <w:rsid w:val="00205470"/>
    <w:rsid w:val="00206322"/>
    <w:rsid w:val="00217BA1"/>
    <w:rsid w:val="00220AEA"/>
    <w:rsid w:val="00226954"/>
    <w:rsid w:val="002368CB"/>
    <w:rsid w:val="002629A3"/>
    <w:rsid w:val="00265660"/>
    <w:rsid w:val="002677A0"/>
    <w:rsid w:val="00267D18"/>
    <w:rsid w:val="002868E2"/>
    <w:rsid w:val="002869C3"/>
    <w:rsid w:val="002936E4"/>
    <w:rsid w:val="00296B88"/>
    <w:rsid w:val="002A260D"/>
    <w:rsid w:val="002A484C"/>
    <w:rsid w:val="002B682F"/>
    <w:rsid w:val="002C74CA"/>
    <w:rsid w:val="002E221C"/>
    <w:rsid w:val="002F744D"/>
    <w:rsid w:val="00303DE6"/>
    <w:rsid w:val="00310124"/>
    <w:rsid w:val="00322306"/>
    <w:rsid w:val="00323C70"/>
    <w:rsid w:val="003544FB"/>
    <w:rsid w:val="00365D63"/>
    <w:rsid w:val="0036793B"/>
    <w:rsid w:val="00372682"/>
    <w:rsid w:val="00376CC5"/>
    <w:rsid w:val="0039693B"/>
    <w:rsid w:val="003B3C40"/>
    <w:rsid w:val="003C6AFE"/>
    <w:rsid w:val="003D2F2D"/>
    <w:rsid w:val="00401590"/>
    <w:rsid w:val="00446E4C"/>
    <w:rsid w:val="00463E3D"/>
    <w:rsid w:val="004645AE"/>
    <w:rsid w:val="004C264B"/>
    <w:rsid w:val="004D3E33"/>
    <w:rsid w:val="005039D0"/>
    <w:rsid w:val="00510770"/>
    <w:rsid w:val="0052252B"/>
    <w:rsid w:val="005250F2"/>
    <w:rsid w:val="00567439"/>
    <w:rsid w:val="005A1D84"/>
    <w:rsid w:val="005A70EA"/>
    <w:rsid w:val="005C3963"/>
    <w:rsid w:val="005D1840"/>
    <w:rsid w:val="005D35E4"/>
    <w:rsid w:val="005D7910"/>
    <w:rsid w:val="005E6F46"/>
    <w:rsid w:val="00614C68"/>
    <w:rsid w:val="0062154F"/>
    <w:rsid w:val="00626026"/>
    <w:rsid w:val="00631A8C"/>
    <w:rsid w:val="00651CA2"/>
    <w:rsid w:val="00653D60"/>
    <w:rsid w:val="00660D05"/>
    <w:rsid w:val="00671D9A"/>
    <w:rsid w:val="00673952"/>
    <w:rsid w:val="00686C9D"/>
    <w:rsid w:val="006B2D5B"/>
    <w:rsid w:val="006B7D14"/>
    <w:rsid w:val="006C186D"/>
    <w:rsid w:val="006D5B93"/>
    <w:rsid w:val="006E18DE"/>
    <w:rsid w:val="006E54C5"/>
    <w:rsid w:val="00725A7D"/>
    <w:rsid w:val="00727093"/>
    <w:rsid w:val="0073085C"/>
    <w:rsid w:val="00746505"/>
    <w:rsid w:val="00752FD1"/>
    <w:rsid w:val="00762C81"/>
    <w:rsid w:val="007643CD"/>
    <w:rsid w:val="00790BB3"/>
    <w:rsid w:val="00792043"/>
    <w:rsid w:val="00797EDD"/>
    <w:rsid w:val="007B0322"/>
    <w:rsid w:val="007C0E3F"/>
    <w:rsid w:val="007C206C"/>
    <w:rsid w:val="007C5729"/>
    <w:rsid w:val="007E5A99"/>
    <w:rsid w:val="008111E4"/>
    <w:rsid w:val="0081301C"/>
    <w:rsid w:val="00817DD6"/>
    <w:rsid w:val="008629A9"/>
    <w:rsid w:val="008833F3"/>
    <w:rsid w:val="0088513A"/>
    <w:rsid w:val="00893C19"/>
    <w:rsid w:val="00895308"/>
    <w:rsid w:val="008A0240"/>
    <w:rsid w:val="008D6C8D"/>
    <w:rsid w:val="008E2B54"/>
    <w:rsid w:val="008E4404"/>
    <w:rsid w:val="008E58C7"/>
    <w:rsid w:val="008F0DA5"/>
    <w:rsid w:val="008F37CF"/>
    <w:rsid w:val="008F5021"/>
    <w:rsid w:val="00943573"/>
    <w:rsid w:val="009450C3"/>
    <w:rsid w:val="00971B61"/>
    <w:rsid w:val="00980C31"/>
    <w:rsid w:val="009955FF"/>
    <w:rsid w:val="009D259D"/>
    <w:rsid w:val="009E152A"/>
    <w:rsid w:val="00A00487"/>
    <w:rsid w:val="00A353B4"/>
    <w:rsid w:val="00A50D9D"/>
    <w:rsid w:val="00A53000"/>
    <w:rsid w:val="00A545C6"/>
    <w:rsid w:val="00A75F87"/>
    <w:rsid w:val="00A95D8B"/>
    <w:rsid w:val="00AA1452"/>
    <w:rsid w:val="00AC0270"/>
    <w:rsid w:val="00AC3EA3"/>
    <w:rsid w:val="00AC792D"/>
    <w:rsid w:val="00B657B8"/>
    <w:rsid w:val="00B84920"/>
    <w:rsid w:val="00B8556A"/>
    <w:rsid w:val="00B93282"/>
    <w:rsid w:val="00BA2A20"/>
    <w:rsid w:val="00BB0077"/>
    <w:rsid w:val="00BB41CE"/>
    <w:rsid w:val="00BB6949"/>
    <w:rsid w:val="00BE4D47"/>
    <w:rsid w:val="00C012A3"/>
    <w:rsid w:val="00C16F19"/>
    <w:rsid w:val="00C30EB1"/>
    <w:rsid w:val="00C43923"/>
    <w:rsid w:val="00C52A7B"/>
    <w:rsid w:val="00C6324C"/>
    <w:rsid w:val="00C679AA"/>
    <w:rsid w:val="00C724CF"/>
    <w:rsid w:val="00C74FE1"/>
    <w:rsid w:val="00C75972"/>
    <w:rsid w:val="00C82792"/>
    <w:rsid w:val="00C90AD8"/>
    <w:rsid w:val="00C948FD"/>
    <w:rsid w:val="00CB2220"/>
    <w:rsid w:val="00CB43D5"/>
    <w:rsid w:val="00CC76F9"/>
    <w:rsid w:val="00CD066B"/>
    <w:rsid w:val="00CD3ECE"/>
    <w:rsid w:val="00CD46E2"/>
    <w:rsid w:val="00CF628B"/>
    <w:rsid w:val="00D00D0B"/>
    <w:rsid w:val="00D04B69"/>
    <w:rsid w:val="00D17FBC"/>
    <w:rsid w:val="00D200A7"/>
    <w:rsid w:val="00D40420"/>
    <w:rsid w:val="00D537FA"/>
    <w:rsid w:val="00D80D99"/>
    <w:rsid w:val="00D9503C"/>
    <w:rsid w:val="00DD73EF"/>
    <w:rsid w:val="00DE23E8"/>
    <w:rsid w:val="00DF187F"/>
    <w:rsid w:val="00E0128B"/>
    <w:rsid w:val="00E04E36"/>
    <w:rsid w:val="00E11C78"/>
    <w:rsid w:val="00E64E17"/>
    <w:rsid w:val="00E852EA"/>
    <w:rsid w:val="00EA3D3C"/>
    <w:rsid w:val="00EC7CC3"/>
    <w:rsid w:val="00F011E0"/>
    <w:rsid w:val="00F254A4"/>
    <w:rsid w:val="00F46494"/>
    <w:rsid w:val="00F558AB"/>
    <w:rsid w:val="00F61D89"/>
    <w:rsid w:val="00F86ABB"/>
    <w:rsid w:val="00F87413"/>
    <w:rsid w:val="00F97039"/>
    <w:rsid w:val="00FC4655"/>
    <w:rsid w:val="00FD7648"/>
    <w:rsid w:val="00FE2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DC1DA"/>
  <w15:docId w15:val="{757ABA37-7D5A-42D5-8BA2-C3ABF0C3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inorHAnsi" w:hAnsiTheme="maj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0D99"/>
    <w:pPr>
      <w:spacing w:after="0" w:line="480" w:lineRule="auto"/>
      <w:ind w:firstLine="720"/>
    </w:pPr>
    <w:rPr>
      <w:rFonts w:ascii="Times New Roman" w:hAnsi="Times New Roman"/>
      <w:color w:val="000000"/>
      <w:sz w:val="24"/>
    </w:rPr>
  </w:style>
  <w:style w:type="paragraph" w:styleId="Heading1">
    <w:name w:val="heading 1"/>
    <w:basedOn w:val="Normal"/>
    <w:next w:val="Normal"/>
    <w:link w:val="Heading1Char"/>
    <w:uiPriority w:val="2"/>
    <w:qFormat/>
    <w:rsid w:val="00D80D99"/>
    <w:pPr>
      <w:keepNext/>
      <w:keepLines/>
      <w:spacing w:before="160"/>
      <w:ind w:firstLine="0"/>
      <w:outlineLvl w:val="0"/>
    </w:pPr>
    <w:rPr>
      <w:b/>
    </w:rPr>
  </w:style>
  <w:style w:type="paragraph" w:styleId="Heading2">
    <w:name w:val="heading 2"/>
    <w:basedOn w:val="Normal"/>
    <w:next w:val="Normal"/>
    <w:link w:val="Heading2Char"/>
    <w:uiPriority w:val="2"/>
    <w:qFormat/>
    <w:rsid w:val="00D80D99"/>
    <w:pPr>
      <w:keepNext/>
      <w:keepLines/>
      <w:spacing w:before="160"/>
      <w:ind w:firstLine="0"/>
      <w:outlineLvl w:val="1"/>
    </w:pPr>
    <w:rPr>
      <w:b/>
    </w:rPr>
  </w:style>
  <w:style w:type="paragraph" w:styleId="Heading3">
    <w:name w:val="heading 3"/>
    <w:basedOn w:val="Normal"/>
    <w:next w:val="Normal"/>
    <w:link w:val="Heading3Char"/>
    <w:uiPriority w:val="2"/>
    <w:qFormat/>
    <w:rsid w:val="00D80D99"/>
    <w:pPr>
      <w:keepNext/>
      <w:keepLines/>
      <w:spacing w:before="160"/>
      <w:ind w:firstLine="0"/>
      <w:outlineLvl w:val="2"/>
    </w:pPr>
    <w:rPr>
      <w:rFonts w:eastAsiaTheme="majorEastAsia" w:cstheme="majorBidi"/>
      <w:i/>
      <w:szCs w:val="24"/>
    </w:rPr>
  </w:style>
  <w:style w:type="paragraph" w:styleId="Heading4">
    <w:name w:val="heading 4"/>
    <w:basedOn w:val="Heading3"/>
    <w:next w:val="Normal"/>
    <w:link w:val="Heading4Char"/>
    <w:uiPriority w:val="2"/>
    <w:qFormat/>
    <w:rsid w:val="00D80D99"/>
    <w:pPr>
      <w:numPr>
        <w:ilvl w:val="3"/>
      </w:numPr>
      <w:outlineLvl w:val="3"/>
    </w:pPr>
    <w:rPr>
      <w:iCs/>
    </w:rPr>
  </w:style>
  <w:style w:type="paragraph" w:styleId="Heading5">
    <w:name w:val="heading 5"/>
    <w:basedOn w:val="Heading4"/>
    <w:next w:val="Normal"/>
    <w:link w:val="Heading5Char"/>
    <w:uiPriority w:val="2"/>
    <w:qFormat/>
    <w:rsid w:val="00D80D99"/>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14739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147395"/>
    <w:rPr>
      <w:rFonts w:ascii="Times New Roman" w:eastAsia="Cambria" w:hAnsi="Times New Roman" w:cs="Times New Roman"/>
      <w:b/>
      <w:sz w:val="24"/>
      <w:szCs w:val="24"/>
    </w:rPr>
  </w:style>
  <w:style w:type="character" w:styleId="Emphasis">
    <w:name w:val="Emphasis"/>
    <w:basedOn w:val="DefaultParagraphFont"/>
    <w:uiPriority w:val="20"/>
    <w:qFormat/>
    <w:rsid w:val="00C724CF"/>
    <w:rPr>
      <w:rFonts w:ascii="Times New Roman" w:hAnsi="Times New Roman"/>
      <w:i/>
      <w:iCs/>
    </w:rPr>
  </w:style>
  <w:style w:type="paragraph" w:styleId="ListParagraph">
    <w:name w:val="List Paragraph"/>
    <w:basedOn w:val="Normal"/>
    <w:uiPriority w:val="3"/>
    <w:qFormat/>
    <w:rsid w:val="00310124"/>
    <w:pPr>
      <w:numPr>
        <w:numId w:val="14"/>
      </w:numPr>
      <w:ind w:left="1434" w:hanging="357"/>
      <w:contextualSpacing/>
    </w:pPr>
    <w:rPr>
      <w:rFonts w:eastAsia="Cambria" w:cs="Times New Roman"/>
      <w:szCs w:val="24"/>
    </w:rPr>
  </w:style>
  <w:style w:type="character" w:styleId="Strong">
    <w:name w:val="Strong"/>
    <w:basedOn w:val="DefaultParagraphFont"/>
    <w:uiPriority w:val="22"/>
    <w:qFormat/>
    <w:rsid w:val="00C724CF"/>
    <w:rPr>
      <w:rFonts w:ascii="Times New Roman" w:hAnsi="Times New Roman"/>
      <w:b/>
      <w:bCs/>
    </w:rPr>
  </w:style>
  <w:style w:type="paragraph" w:styleId="NormalWeb">
    <w:name w:val="Normal (Web)"/>
    <w:basedOn w:val="Normal"/>
    <w:uiPriority w:val="99"/>
    <w:unhideWhenUsed/>
    <w:rsid w:val="00117666"/>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A53000"/>
    <w:pPr>
      <w:spacing w:line="240" w:lineRule="auto"/>
      <w:ind w:firstLine="0"/>
    </w:pPr>
    <w:rPr>
      <w:sz w:val="18"/>
    </w:rPr>
  </w:style>
  <w:style w:type="character" w:customStyle="1" w:styleId="HeaderChar">
    <w:name w:val="Header Char"/>
    <w:basedOn w:val="DefaultParagraphFont"/>
    <w:link w:val="Header"/>
    <w:uiPriority w:val="99"/>
    <w:rsid w:val="00A53000"/>
    <w:rPr>
      <w:rFonts w:ascii="Times New Roman" w:hAnsi="Times New Roman"/>
      <w:b/>
      <w:sz w:val="24"/>
    </w:rPr>
  </w:style>
  <w:style w:type="paragraph" w:styleId="Footer">
    <w:name w:val="footer"/>
    <w:basedOn w:val="Normal"/>
    <w:link w:val="FooterChar"/>
    <w:uiPriority w:val="99"/>
    <w:unhideWhenUsed/>
    <w:rsid w:val="00117666"/>
    <w:pPr>
      <w:spacing w:line="240" w:lineRule="auto"/>
      <w:ind w:firstLine="0"/>
    </w:pPr>
    <w:rPr>
      <w:color w:val="526B61"/>
      <w:sz w:val="18"/>
    </w:rPr>
  </w:style>
  <w:style w:type="character" w:customStyle="1" w:styleId="FooterChar">
    <w:name w:val="Footer Char"/>
    <w:basedOn w:val="DefaultParagraphFont"/>
    <w:link w:val="Footer"/>
    <w:uiPriority w:val="99"/>
    <w:rsid w:val="00117666"/>
  </w:style>
  <w:style w:type="table" w:styleId="TableGrid">
    <w:name w:val="Table Grid"/>
    <w:basedOn w:val="TableNormal"/>
    <w:uiPriority w:val="59"/>
    <w:rsid w:val="00117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17666"/>
    <w:rPr>
      <w:sz w:val="20"/>
      <w:szCs w:val="20"/>
    </w:rPr>
  </w:style>
  <w:style w:type="character" w:customStyle="1" w:styleId="FootnoteTextChar">
    <w:name w:val="Footnote Text Char"/>
    <w:basedOn w:val="DefaultParagraphFont"/>
    <w:link w:val="FootnoteText"/>
    <w:uiPriority w:val="99"/>
    <w:semiHidden/>
    <w:rsid w:val="00117666"/>
    <w:rPr>
      <w:sz w:val="20"/>
      <w:szCs w:val="20"/>
    </w:rPr>
  </w:style>
  <w:style w:type="character" w:styleId="FootnoteReference">
    <w:name w:val="footnote reference"/>
    <w:basedOn w:val="DefaultParagraphFont"/>
    <w:uiPriority w:val="99"/>
    <w:semiHidden/>
    <w:unhideWhenUsed/>
    <w:rsid w:val="00117666"/>
    <w:rPr>
      <w:vertAlign w:val="superscript"/>
    </w:rPr>
  </w:style>
  <w:style w:type="paragraph" w:styleId="Caption">
    <w:name w:val="caption"/>
    <w:basedOn w:val="Normal"/>
    <w:next w:val="NoSpacing"/>
    <w:uiPriority w:val="35"/>
    <w:unhideWhenUsed/>
    <w:qFormat/>
    <w:rsid w:val="00A53000"/>
    <w:pPr>
      <w:keepLines/>
    </w:pPr>
    <w:rPr>
      <w:rFonts w:cs="Times New Roman"/>
      <w:bCs/>
      <w:szCs w:val="24"/>
    </w:rPr>
  </w:style>
  <w:style w:type="paragraph" w:styleId="BalloonText">
    <w:name w:val="Balloon Text"/>
    <w:basedOn w:val="Normal"/>
    <w:link w:val="BalloonTextChar"/>
    <w:uiPriority w:val="99"/>
    <w:semiHidden/>
    <w:unhideWhenUsed/>
    <w:rsid w:val="00117666"/>
    <w:rPr>
      <w:rFonts w:ascii="Tahoma" w:hAnsi="Tahoma" w:cs="Tahoma"/>
      <w:sz w:val="16"/>
      <w:szCs w:val="16"/>
    </w:rPr>
  </w:style>
  <w:style w:type="character" w:customStyle="1" w:styleId="BalloonTextChar">
    <w:name w:val="Balloon Text Char"/>
    <w:basedOn w:val="DefaultParagraphFont"/>
    <w:link w:val="BalloonText"/>
    <w:uiPriority w:val="99"/>
    <w:semiHidden/>
    <w:rsid w:val="00117666"/>
    <w:rPr>
      <w:rFonts w:ascii="Tahoma" w:hAnsi="Tahoma" w:cs="Tahoma"/>
      <w:sz w:val="16"/>
      <w:szCs w:val="16"/>
    </w:rPr>
  </w:style>
  <w:style w:type="character" w:styleId="LineNumber">
    <w:name w:val="line number"/>
    <w:basedOn w:val="DefaultParagraphFont"/>
    <w:uiPriority w:val="99"/>
    <w:semiHidden/>
    <w:unhideWhenUsed/>
    <w:rsid w:val="00117666"/>
    <w:rPr>
      <w:rFonts w:ascii="Times New Roman" w:hAnsi="Times New Roman"/>
      <w:color w:val="666666"/>
      <w:sz w:val="16"/>
    </w:rPr>
  </w:style>
  <w:style w:type="paragraph" w:styleId="EndnoteText">
    <w:name w:val="endnote text"/>
    <w:basedOn w:val="Normal"/>
    <w:link w:val="EndnoteTextChar"/>
    <w:uiPriority w:val="99"/>
    <w:semiHidden/>
    <w:unhideWhenUsed/>
    <w:rsid w:val="00CD066B"/>
    <w:rPr>
      <w:sz w:val="20"/>
      <w:szCs w:val="20"/>
    </w:rPr>
  </w:style>
  <w:style w:type="character" w:customStyle="1" w:styleId="EndnoteTextChar">
    <w:name w:val="Endnote Text Char"/>
    <w:basedOn w:val="DefaultParagraphFont"/>
    <w:link w:val="EndnoteText"/>
    <w:uiPriority w:val="99"/>
    <w:semiHidden/>
    <w:rsid w:val="00CD066B"/>
    <w:rPr>
      <w:sz w:val="20"/>
      <w:szCs w:val="20"/>
    </w:rPr>
  </w:style>
  <w:style w:type="character" w:styleId="EndnoteReference">
    <w:name w:val="endnote reference"/>
    <w:basedOn w:val="DefaultParagraphFont"/>
    <w:uiPriority w:val="99"/>
    <w:semiHidden/>
    <w:unhideWhenUsed/>
    <w:rsid w:val="00CD066B"/>
    <w:rPr>
      <w:vertAlign w:val="superscript"/>
    </w:rPr>
  </w:style>
  <w:style w:type="character" w:styleId="CommentReference">
    <w:name w:val="annotation reference"/>
    <w:basedOn w:val="DefaultParagraphFont"/>
    <w:uiPriority w:val="99"/>
    <w:semiHidden/>
    <w:unhideWhenUsed/>
    <w:rsid w:val="00725A7D"/>
    <w:rPr>
      <w:sz w:val="16"/>
      <w:szCs w:val="16"/>
    </w:rPr>
  </w:style>
  <w:style w:type="paragraph" w:styleId="CommentText">
    <w:name w:val="annotation text"/>
    <w:basedOn w:val="Normal"/>
    <w:link w:val="CommentTextChar"/>
    <w:uiPriority w:val="99"/>
    <w:semiHidden/>
    <w:unhideWhenUsed/>
    <w:rsid w:val="00725A7D"/>
    <w:rPr>
      <w:sz w:val="20"/>
      <w:szCs w:val="20"/>
    </w:rPr>
  </w:style>
  <w:style w:type="character" w:customStyle="1" w:styleId="CommentTextChar">
    <w:name w:val="Comment Text Char"/>
    <w:basedOn w:val="DefaultParagraphFont"/>
    <w:link w:val="CommentText"/>
    <w:uiPriority w:val="99"/>
    <w:semiHidden/>
    <w:rsid w:val="00725A7D"/>
    <w:rPr>
      <w:sz w:val="20"/>
      <w:szCs w:val="20"/>
    </w:rPr>
  </w:style>
  <w:style w:type="paragraph" w:styleId="CommentSubject">
    <w:name w:val="annotation subject"/>
    <w:basedOn w:val="CommentText"/>
    <w:next w:val="CommentText"/>
    <w:link w:val="CommentSubjectChar"/>
    <w:uiPriority w:val="99"/>
    <w:semiHidden/>
    <w:unhideWhenUsed/>
    <w:rsid w:val="00725A7D"/>
    <w:rPr>
      <w:b/>
      <w:bCs/>
    </w:rPr>
  </w:style>
  <w:style w:type="character" w:customStyle="1" w:styleId="CommentSubjectChar">
    <w:name w:val="Comment Subject Char"/>
    <w:basedOn w:val="CommentTextChar"/>
    <w:link w:val="CommentSubject"/>
    <w:uiPriority w:val="99"/>
    <w:semiHidden/>
    <w:rsid w:val="00725A7D"/>
    <w:rPr>
      <w:b/>
      <w:bCs/>
      <w:sz w:val="20"/>
      <w:szCs w:val="20"/>
    </w:rPr>
  </w:style>
  <w:style w:type="character" w:styleId="Hyperlink">
    <w:name w:val="Hyperlink"/>
    <w:basedOn w:val="DefaultParagraphFont"/>
    <w:uiPriority w:val="99"/>
    <w:unhideWhenUsed/>
    <w:rsid w:val="005A1D84"/>
    <w:rPr>
      <w:color w:val="0000FF"/>
      <w:u w:val="single"/>
    </w:rPr>
  </w:style>
  <w:style w:type="character" w:styleId="FollowedHyperlink">
    <w:name w:val="FollowedHyperlink"/>
    <w:basedOn w:val="DefaultParagraphFont"/>
    <w:uiPriority w:val="99"/>
    <w:semiHidden/>
    <w:unhideWhenUsed/>
    <w:rsid w:val="006D5B93"/>
    <w:rPr>
      <w:color w:val="800080" w:themeColor="followedHyperlink"/>
      <w:u w:val="single"/>
    </w:rPr>
  </w:style>
  <w:style w:type="paragraph" w:styleId="Title">
    <w:name w:val="Title"/>
    <w:basedOn w:val="Normal"/>
    <w:next w:val="Normal"/>
    <w:link w:val="TitleChar"/>
    <w:qFormat/>
    <w:rsid w:val="00D80D99"/>
    <w:pPr>
      <w:keepNext/>
      <w:suppressLineNumbers/>
      <w:spacing w:after="200"/>
      <w:ind w:firstLine="0"/>
    </w:pPr>
    <w:rPr>
      <w:rFonts w:cs="Times New Roman"/>
      <w:b/>
      <w:color w:val="244C3D"/>
      <w:sz w:val="28"/>
      <w:szCs w:val="32"/>
    </w:rPr>
  </w:style>
  <w:style w:type="character" w:customStyle="1" w:styleId="TitleChar">
    <w:name w:val="Title Char"/>
    <w:basedOn w:val="DefaultParagraphFont"/>
    <w:link w:val="Title"/>
    <w:rsid w:val="00D80D99"/>
    <w:rPr>
      <w:rFonts w:ascii="Times New Roman" w:hAnsi="Times New Roman" w:cs="Times New Roman"/>
      <w:b/>
      <w:sz w:val="32"/>
      <w:szCs w:val="32"/>
    </w:rPr>
  </w:style>
  <w:style w:type="paragraph" w:styleId="Subtitle">
    <w:name w:val="Subtitle"/>
    <w:basedOn w:val="Normal"/>
    <w:next w:val="Normal"/>
    <w:link w:val="SubtitleChar"/>
    <w:uiPriority w:val="99"/>
    <w:unhideWhenUsed/>
    <w:qFormat/>
    <w:rsid w:val="00AC0270"/>
    <w:pPr>
      <w:spacing w:before="240"/>
    </w:pPr>
    <w:rPr>
      <w:rFonts w:cs="Times New Roman"/>
      <w:b/>
      <w:szCs w:val="24"/>
    </w:rPr>
  </w:style>
  <w:style w:type="character" w:customStyle="1" w:styleId="SubtitleChar">
    <w:name w:val="Subtitle Char"/>
    <w:basedOn w:val="DefaultParagraphFont"/>
    <w:link w:val="Subtitle"/>
    <w:uiPriority w:val="99"/>
    <w:rsid w:val="00651CA2"/>
    <w:rPr>
      <w:rFonts w:ascii="Times New Roman" w:hAnsi="Times New Roman" w:cs="Times New Roman"/>
      <w:b/>
      <w:sz w:val="24"/>
      <w:szCs w:val="24"/>
    </w:rPr>
  </w:style>
  <w:style w:type="character" w:customStyle="1" w:styleId="Heading3Char">
    <w:name w:val="Heading 3 Char"/>
    <w:basedOn w:val="DefaultParagraphFont"/>
    <w:link w:val="Heading3"/>
    <w:uiPriority w:val="2"/>
    <w:rsid w:val="005D1840"/>
    <w:rPr>
      <w:rFonts w:ascii="Times New Roman" w:eastAsiaTheme="majorEastAsia" w:hAnsi="Times New Roman" w:cstheme="majorBidi"/>
      <w:b/>
      <w:sz w:val="24"/>
      <w:szCs w:val="24"/>
    </w:rPr>
  </w:style>
  <w:style w:type="paragraph" w:styleId="NoSpacing">
    <w:name w:val="No Spacing"/>
    <w:uiPriority w:val="99"/>
    <w:unhideWhenUsed/>
    <w:qFormat/>
    <w:rsid w:val="00A53000"/>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2"/>
    <w:rsid w:val="005D1840"/>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5D1840"/>
    <w:rPr>
      <w:rFonts w:ascii="Times New Roman" w:eastAsiaTheme="majorEastAsia" w:hAnsi="Times New Roman" w:cstheme="majorBidi"/>
      <w:b/>
      <w:iCs/>
      <w:sz w:val="24"/>
      <w:szCs w:val="24"/>
    </w:rPr>
  </w:style>
  <w:style w:type="paragraph" w:customStyle="1" w:styleId="AuthorList">
    <w:name w:val="Author List"/>
    <w:aliases w:val="Keywords,Abstract"/>
    <w:basedOn w:val="Subtitle"/>
    <w:next w:val="Normal"/>
    <w:uiPriority w:val="1"/>
    <w:qFormat/>
    <w:rsid w:val="00651CA2"/>
  </w:style>
  <w:style w:type="character" w:styleId="SubtleEmphasis">
    <w:name w:val="Subtle Emphasis"/>
    <w:basedOn w:val="DefaultParagraphFont"/>
    <w:uiPriority w:val="19"/>
    <w:qFormat/>
    <w:rsid w:val="00C724CF"/>
    <w:rPr>
      <w:rFonts w:ascii="Times New Roman" w:hAnsi="Times New Roman"/>
      <w:i/>
      <w:iCs/>
      <w:color w:val="404040" w:themeColor="text1" w:themeTint="BF"/>
    </w:rPr>
  </w:style>
  <w:style w:type="character" w:styleId="IntenseEmphasis">
    <w:name w:val="Intense Emphasis"/>
    <w:basedOn w:val="DefaultParagraphFont"/>
    <w:uiPriority w:val="21"/>
    <w:unhideWhenUsed/>
    <w:rsid w:val="00C724CF"/>
    <w:rPr>
      <w:rFonts w:ascii="Times New Roman" w:hAnsi="Times New Roman"/>
      <w:i/>
      <w:iCs/>
      <w:color w:val="auto"/>
    </w:rPr>
  </w:style>
  <w:style w:type="paragraph" w:styleId="Quote">
    <w:name w:val="Quote"/>
    <w:basedOn w:val="Normal"/>
    <w:next w:val="Normal"/>
    <w:link w:val="QuoteChar"/>
    <w:uiPriority w:val="29"/>
    <w:qFormat/>
    <w:rsid w:val="00C724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24CF"/>
    <w:rPr>
      <w:rFonts w:ascii="Times New Roman" w:hAnsi="Times New Roman"/>
      <w:i/>
      <w:iCs/>
      <w:color w:val="404040" w:themeColor="text1" w:themeTint="BF"/>
      <w:sz w:val="24"/>
    </w:rPr>
  </w:style>
  <w:style w:type="character" w:styleId="IntenseReference">
    <w:name w:val="Intense Reference"/>
    <w:basedOn w:val="DefaultParagraphFont"/>
    <w:uiPriority w:val="32"/>
    <w:qFormat/>
    <w:rsid w:val="00C724CF"/>
    <w:rPr>
      <w:b/>
      <w:bCs/>
      <w:smallCaps/>
      <w:color w:val="auto"/>
      <w:spacing w:val="5"/>
    </w:rPr>
  </w:style>
  <w:style w:type="character" w:styleId="BookTitle">
    <w:name w:val="Book Title"/>
    <w:basedOn w:val="DefaultParagraphFont"/>
    <w:uiPriority w:val="33"/>
    <w:qFormat/>
    <w:rsid w:val="00C724CF"/>
    <w:rPr>
      <w:rFonts w:ascii="Times New Roman" w:hAnsi="Times New Roman"/>
      <w:b/>
      <w:bCs/>
      <w:i/>
      <w:iCs/>
      <w:spacing w:val="5"/>
    </w:rPr>
  </w:style>
  <w:style w:type="numbering" w:customStyle="1" w:styleId="Headings">
    <w:name w:val="Headings"/>
    <w:uiPriority w:val="99"/>
    <w:rsid w:val="00D80D99"/>
    <w:pPr>
      <w:numPr>
        <w:numId w:val="21"/>
      </w:numPr>
    </w:pPr>
  </w:style>
  <w:style w:type="paragraph" w:styleId="Revision">
    <w:name w:val="Revision"/>
    <w:hidden/>
    <w:uiPriority w:val="99"/>
    <w:semiHidden/>
    <w:rsid w:val="00A545C6"/>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895308"/>
    <w:rPr>
      <w:color w:val="605E5C"/>
      <w:shd w:val="clear" w:color="auto" w:fill="E1DFDD"/>
    </w:rPr>
  </w:style>
  <w:style w:type="paragraph" w:customStyle="1" w:styleId="JournalAuthors">
    <w:name w:val="Journal Authors"/>
    <w:basedOn w:val="Normal"/>
  </w:style>
  <w:style w:type="paragraph" w:customStyle="1" w:styleId="JournalAffiliation">
    <w:name w:val="Journal Affiliation"/>
    <w:basedOn w:val="Normal"/>
  </w:style>
  <w:style w:type="paragraph" w:customStyle="1" w:styleId="JournalCorrespondence">
    <w:name w:val="Journal Correspondence"/>
    <w:basedOn w:val="Normal"/>
  </w:style>
  <w:style w:type="paragraph" w:customStyle="1" w:styleId="JournalAbstract">
    <w:name w:val="Journal Abstract"/>
    <w:basedOn w:val="Normal"/>
  </w:style>
  <w:style w:type="paragraph" w:customStyle="1" w:styleId="JournalKeywords">
    <w:name w:val="Journal Keywords"/>
    <w:basedOn w:val="Normal"/>
  </w:style>
  <w:style w:type="paragraph" w:customStyle="1" w:styleId="JournalFigure">
    <w:name w:val="Journal Figure"/>
    <w:basedOn w:val="Normal"/>
    <w:pPr>
      <w:keepNext/>
      <w:spacing w:line="240" w:lineRule="auto"/>
      <w:ind w:firstLine="0"/>
    </w:pPr>
  </w:style>
  <w:style w:type="paragraph" w:customStyle="1" w:styleId="JournalReference">
    <w:name w:val="Journal Reference"/>
    <w:basedOn w:val="Normal"/>
    <w:pPr>
      <w:keepLines/>
    </w:pPr>
  </w:style>
  <w:style w:type="paragraph" w:customStyle="1" w:styleId="CoverLogo">
    <w:name w:val="Cover Logo"/>
    <w:basedOn w:val="Normal"/>
    <w:pPr>
      <w:keepNext/>
      <w:spacing w:after="240" w:line="240" w:lineRule="auto"/>
      <w:ind w:firstLine="0"/>
    </w:pPr>
  </w:style>
  <w:style w:type="paragraph" w:customStyle="1" w:styleId="CoverHero">
    <w:name w:val="Cover Hero"/>
    <w:basedOn w:val="Normal"/>
    <w:pPr>
      <w:keepNext/>
      <w:spacing w:after="80" w:line="240" w:lineRule="auto"/>
      <w:ind w:firstLine="0"/>
    </w:pPr>
  </w:style>
  <w:style w:type="paragraph" w:customStyle="1" w:styleId="CoverArtworkNote">
    <w:name w:val="Cover Artwork Note"/>
    <w:basedOn w:val="Normal"/>
    <w:pPr>
      <w:spacing w:after="240" w:line="240" w:lineRule="auto"/>
      <w:ind w:firstLine="0"/>
    </w:pPr>
    <w:rPr>
      <w:color w:val="667166"/>
      <w:sz w:val="16"/>
    </w:rPr>
  </w:style>
  <w:style w:type="paragraph" w:customStyle="1" w:styleId="CoverKicker">
    <w:name w:val="Cover Kicker"/>
    <w:basedOn w:val="Normal"/>
    <w:pPr>
      <w:keepNext/>
      <w:spacing w:after="200" w:line="288" w:lineRule="auto"/>
      <w:ind w:firstLine="0"/>
    </w:pPr>
    <w:rPr>
      <w:b/>
      <w:color w:val="3E7C7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52381">
      <w:bodyDiv w:val="1"/>
      <w:marLeft w:val="0"/>
      <w:marRight w:val="0"/>
      <w:marTop w:val="0"/>
      <w:marBottom w:val="0"/>
      <w:divBdr>
        <w:top w:val="none" w:sz="0" w:space="0" w:color="auto"/>
        <w:left w:val="none" w:sz="0" w:space="0" w:color="auto"/>
        <w:bottom w:val="none" w:sz="0" w:space="0" w:color="auto"/>
        <w:right w:val="none" w:sz="0" w:space="0" w:color="auto"/>
      </w:divBdr>
    </w:div>
    <w:div w:id="83501254">
      <w:bodyDiv w:val="1"/>
      <w:marLeft w:val="0"/>
      <w:marRight w:val="0"/>
      <w:marTop w:val="0"/>
      <w:marBottom w:val="0"/>
      <w:divBdr>
        <w:top w:val="none" w:sz="0" w:space="0" w:color="auto"/>
        <w:left w:val="none" w:sz="0" w:space="0" w:color="auto"/>
        <w:bottom w:val="none" w:sz="0" w:space="0" w:color="auto"/>
        <w:right w:val="none" w:sz="0" w:space="0" w:color="auto"/>
      </w:divBdr>
    </w:div>
    <w:div w:id="171993267">
      <w:bodyDiv w:val="1"/>
      <w:marLeft w:val="0"/>
      <w:marRight w:val="0"/>
      <w:marTop w:val="0"/>
      <w:marBottom w:val="0"/>
      <w:divBdr>
        <w:top w:val="none" w:sz="0" w:space="0" w:color="auto"/>
        <w:left w:val="none" w:sz="0" w:space="0" w:color="auto"/>
        <w:bottom w:val="none" w:sz="0" w:space="0" w:color="auto"/>
        <w:right w:val="none" w:sz="0" w:space="0" w:color="auto"/>
      </w:divBdr>
    </w:div>
    <w:div w:id="330254591">
      <w:bodyDiv w:val="1"/>
      <w:marLeft w:val="0"/>
      <w:marRight w:val="0"/>
      <w:marTop w:val="0"/>
      <w:marBottom w:val="0"/>
      <w:divBdr>
        <w:top w:val="none" w:sz="0" w:space="0" w:color="auto"/>
        <w:left w:val="none" w:sz="0" w:space="0" w:color="auto"/>
        <w:bottom w:val="none" w:sz="0" w:space="0" w:color="auto"/>
        <w:right w:val="none" w:sz="0" w:space="0" w:color="auto"/>
      </w:divBdr>
    </w:div>
    <w:div w:id="368335732">
      <w:bodyDiv w:val="1"/>
      <w:marLeft w:val="0"/>
      <w:marRight w:val="0"/>
      <w:marTop w:val="0"/>
      <w:marBottom w:val="0"/>
      <w:divBdr>
        <w:top w:val="none" w:sz="0" w:space="0" w:color="auto"/>
        <w:left w:val="none" w:sz="0" w:space="0" w:color="auto"/>
        <w:bottom w:val="none" w:sz="0" w:space="0" w:color="auto"/>
        <w:right w:val="none" w:sz="0" w:space="0" w:color="auto"/>
      </w:divBdr>
    </w:div>
    <w:div w:id="476724946">
      <w:bodyDiv w:val="1"/>
      <w:marLeft w:val="0"/>
      <w:marRight w:val="0"/>
      <w:marTop w:val="0"/>
      <w:marBottom w:val="0"/>
      <w:divBdr>
        <w:top w:val="none" w:sz="0" w:space="0" w:color="auto"/>
        <w:left w:val="none" w:sz="0" w:space="0" w:color="auto"/>
        <w:bottom w:val="none" w:sz="0" w:space="0" w:color="auto"/>
        <w:right w:val="none" w:sz="0" w:space="0" w:color="auto"/>
      </w:divBdr>
    </w:div>
    <w:div w:id="566258189">
      <w:bodyDiv w:val="1"/>
      <w:marLeft w:val="0"/>
      <w:marRight w:val="0"/>
      <w:marTop w:val="0"/>
      <w:marBottom w:val="0"/>
      <w:divBdr>
        <w:top w:val="none" w:sz="0" w:space="0" w:color="auto"/>
        <w:left w:val="none" w:sz="0" w:space="0" w:color="auto"/>
        <w:bottom w:val="none" w:sz="0" w:space="0" w:color="auto"/>
        <w:right w:val="none" w:sz="0" w:space="0" w:color="auto"/>
      </w:divBdr>
    </w:div>
    <w:div w:id="625626042">
      <w:bodyDiv w:val="1"/>
      <w:marLeft w:val="0"/>
      <w:marRight w:val="0"/>
      <w:marTop w:val="0"/>
      <w:marBottom w:val="0"/>
      <w:divBdr>
        <w:top w:val="none" w:sz="0" w:space="0" w:color="auto"/>
        <w:left w:val="none" w:sz="0" w:space="0" w:color="auto"/>
        <w:bottom w:val="none" w:sz="0" w:space="0" w:color="auto"/>
        <w:right w:val="none" w:sz="0" w:space="0" w:color="auto"/>
      </w:divBdr>
    </w:div>
    <w:div w:id="935138230">
      <w:bodyDiv w:val="1"/>
      <w:marLeft w:val="0"/>
      <w:marRight w:val="0"/>
      <w:marTop w:val="0"/>
      <w:marBottom w:val="0"/>
      <w:divBdr>
        <w:top w:val="none" w:sz="0" w:space="0" w:color="auto"/>
        <w:left w:val="none" w:sz="0" w:space="0" w:color="auto"/>
        <w:bottom w:val="none" w:sz="0" w:space="0" w:color="auto"/>
        <w:right w:val="none" w:sz="0" w:space="0" w:color="auto"/>
      </w:divBdr>
    </w:div>
    <w:div w:id="1002313091">
      <w:bodyDiv w:val="1"/>
      <w:marLeft w:val="0"/>
      <w:marRight w:val="0"/>
      <w:marTop w:val="0"/>
      <w:marBottom w:val="0"/>
      <w:divBdr>
        <w:top w:val="none" w:sz="0" w:space="0" w:color="auto"/>
        <w:left w:val="none" w:sz="0" w:space="0" w:color="auto"/>
        <w:bottom w:val="none" w:sz="0" w:space="0" w:color="auto"/>
        <w:right w:val="none" w:sz="0" w:space="0" w:color="auto"/>
      </w:divBdr>
    </w:div>
    <w:div w:id="2108455780">
      <w:bodyDiv w:val="1"/>
      <w:marLeft w:val="0"/>
      <w:marRight w:val="0"/>
      <w:marTop w:val="0"/>
      <w:marBottom w:val="0"/>
      <w:divBdr>
        <w:top w:val="none" w:sz="0" w:space="0" w:color="auto"/>
        <w:left w:val="none" w:sz="0" w:space="0" w:color="auto"/>
        <w:bottom w:val="none" w:sz="0" w:space="0" w:color="auto"/>
        <w:right w:val="none" w:sz="0" w:space="0" w:color="auto"/>
      </w:divBdr>
    </w:div>
    <w:div w:id="21305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frontier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6fd1d3709ebdae3c6e0eeb2d23db798b">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830d6d9b807b871f8ec19ed92d251fd0"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FRONDOC-1086935359-10120</_dlc_DocId>
    <_dlc_DocIdUrl xmlns="26005759-6815-4540-b8ea-913958d74f23">
      <Url>https://frontiersin.sharepoint.com/Publishing/PubOps/Production/_layouts/15/DocIdRedir.aspx?ID=FRONDOC-1086935359-10120</Url>
      <Description>FRONDOC-1086935359-10120</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7D19558-80B8-407F-9A85-A5582859B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7FD6E-73F0-4542-8474-D6680317EFD1}">
  <ds:schemaRefs>
    <ds:schemaRef ds:uri="http://schemas.microsoft.com/sharepoint/v3/contenttype/forms"/>
  </ds:schemaRefs>
</ds:datastoreItem>
</file>

<file path=customXml/itemProps3.xml><?xml version="1.0" encoding="utf-8"?>
<ds:datastoreItem xmlns:ds="http://schemas.openxmlformats.org/officeDocument/2006/customXml" ds:itemID="{C80633FE-2C4D-43D3-9027-7B70B5BC8799}">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4.xml><?xml version="1.0" encoding="utf-8"?>
<ds:datastoreItem xmlns:ds="http://schemas.openxmlformats.org/officeDocument/2006/customXml" ds:itemID="{51F9E78B-9130-4244-A349-202827F2937E}">
  <ds:schemaRefs>
    <ds:schemaRef ds:uri="http://schemas.microsoft.com/sharepoint/events"/>
  </ds:schemaRefs>
</ds:datastoreItem>
</file>

<file path=customXml/itemProps5.xml><?xml version="1.0" encoding="utf-8"?>
<ds:datastoreItem xmlns:ds="http://schemas.openxmlformats.org/officeDocument/2006/customXml" ds:itemID="{07D7070C-055C-45F8-9AA4-DEE27E586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frontiers_template</Template>
  <TotalTime>1</TotalTime>
  <Pages>26</Pages>
  <Words>7742</Words>
  <Characters>44132</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Developing an Integrated Local Enterprise Development (LED) Model for Community-Based Conservation, Co-Management, and Sustainable Livelihoods in the Save Valley Conservancy, Masvingo Province, Zimbabwe</vt:lpstr>
    </vt:vector>
  </TitlesOfParts>
  <Company/>
  <LinksUpToDate>false</LinksUpToDate>
  <CharactersWithSpaces>51771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an Integrated Local Enterprise Development (LED) Model for Community-Based Conservation, Co-Management, and Sustainable Livelihoods in the Save Valley Conservancy, Masvingo Province, Zimbabwe</dc:title>
  <dc:subject>Journal manuscript: local enterprise development and community-based conservation</dc:subject>
  <dc:creator>Joseph Shoko;Never Muboko;Edson Gandiwa</dc:creator>
  <cp:keywords/>
  <dc:description/>
  <cp:lastModifiedBy>Cosmas Parwada</cp:lastModifiedBy>
  <cp:revision>3</cp:revision>
  <cp:lastPrinted>2013-10-03T12:51:00Z</cp:lastPrinted>
  <dcterms:created xsi:type="dcterms:W3CDTF">2026-10-08T09:25:00Z</dcterms:created>
  <dcterms:modified xsi:type="dcterms:W3CDTF">2026-10-08T09:25:00Z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1f20ac40-4545-4ae8-9e88-2ffc72570862</vt:lpwstr>
  </property>
  <property fmtid="{D5CDD505-2E9C-101B-9397-08002B2CF9AE}" pid="4" name="Order">
    <vt:r8>1012000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